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44E" w:rsidRDefault="0030644E" w:rsidP="007F6464">
      <w:pPr>
        <w:spacing w:line="480" w:lineRule="auto"/>
      </w:pPr>
    </w:p>
    <w:p w:rsidR="00EE0E9B" w:rsidRDefault="00EE0E9B" w:rsidP="007F6464">
      <w:pPr>
        <w:spacing w:line="480" w:lineRule="auto"/>
      </w:pPr>
    </w:p>
    <w:p w:rsidR="00EE0E9B" w:rsidRDefault="00EE0E9B" w:rsidP="007F6464">
      <w:pPr>
        <w:spacing w:line="480" w:lineRule="auto"/>
      </w:pPr>
    </w:p>
    <w:p w:rsidR="00EE0E9B" w:rsidRDefault="00EE0E9B" w:rsidP="007F6464">
      <w:pPr>
        <w:spacing w:line="480" w:lineRule="auto"/>
      </w:pPr>
    </w:p>
    <w:p w:rsidR="00EE0E9B" w:rsidRDefault="00EE0E9B" w:rsidP="007F6464">
      <w:pPr>
        <w:spacing w:line="480" w:lineRule="auto"/>
      </w:pPr>
    </w:p>
    <w:p w:rsidR="00EE0E9B" w:rsidRDefault="00EE0E9B" w:rsidP="007F6464">
      <w:pPr>
        <w:spacing w:line="480" w:lineRule="auto"/>
        <w:rPr>
          <w:rFonts w:ascii="Times New Roman" w:hAnsi="Times New Roman" w:cs="Times New Roman"/>
          <w:sz w:val="24"/>
          <w:szCs w:val="24"/>
        </w:rPr>
      </w:pPr>
    </w:p>
    <w:p w:rsidR="00EE0E9B" w:rsidRDefault="00EE0E9B" w:rsidP="007F6464">
      <w:pPr>
        <w:spacing w:line="480" w:lineRule="auto"/>
        <w:rPr>
          <w:rFonts w:ascii="Times New Roman" w:hAnsi="Times New Roman" w:cs="Times New Roman"/>
          <w:sz w:val="24"/>
          <w:szCs w:val="24"/>
        </w:rPr>
      </w:pPr>
    </w:p>
    <w:p w:rsidR="00EE0E9B" w:rsidRDefault="00D9723F" w:rsidP="007F6464">
      <w:pPr>
        <w:spacing w:line="480" w:lineRule="auto"/>
        <w:jc w:val="center"/>
        <w:rPr>
          <w:rFonts w:ascii="Times New Roman" w:hAnsi="Times New Roman" w:cs="Times New Roman"/>
          <w:sz w:val="24"/>
          <w:szCs w:val="24"/>
        </w:rPr>
      </w:pPr>
      <w:r>
        <w:rPr>
          <w:rFonts w:ascii="Times New Roman" w:hAnsi="Times New Roman" w:cs="Times New Roman"/>
          <w:sz w:val="24"/>
          <w:szCs w:val="24"/>
        </w:rPr>
        <w:t>AIG and The Bonus Fiasco</w:t>
      </w:r>
    </w:p>
    <w:p w:rsidR="007F6464" w:rsidRDefault="007F6464" w:rsidP="007F6464">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E0E9B" w:rsidRDefault="00D9723F" w:rsidP="007F646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E0E9B" w:rsidRDefault="00EE0E9B" w:rsidP="007F6464">
      <w:pPr>
        <w:spacing w:line="480" w:lineRule="auto"/>
        <w:jc w:val="center"/>
        <w:rPr>
          <w:rFonts w:ascii="Times New Roman" w:hAnsi="Times New Roman" w:cs="Times New Roman"/>
          <w:sz w:val="24"/>
          <w:szCs w:val="24"/>
        </w:rPr>
      </w:pPr>
    </w:p>
    <w:p w:rsidR="00EE0E9B" w:rsidRDefault="00EE0E9B" w:rsidP="007F6464">
      <w:pPr>
        <w:spacing w:line="480" w:lineRule="auto"/>
        <w:jc w:val="center"/>
        <w:rPr>
          <w:rFonts w:ascii="Times New Roman" w:hAnsi="Times New Roman" w:cs="Times New Roman"/>
          <w:sz w:val="24"/>
          <w:szCs w:val="24"/>
        </w:rPr>
      </w:pPr>
    </w:p>
    <w:p w:rsidR="00EE0E9B" w:rsidRDefault="00EE0E9B" w:rsidP="007F6464">
      <w:pPr>
        <w:spacing w:line="480" w:lineRule="auto"/>
        <w:jc w:val="center"/>
        <w:rPr>
          <w:rFonts w:ascii="Times New Roman" w:hAnsi="Times New Roman" w:cs="Times New Roman"/>
          <w:sz w:val="24"/>
          <w:szCs w:val="24"/>
        </w:rPr>
      </w:pPr>
    </w:p>
    <w:p w:rsidR="00EE0E9B" w:rsidRDefault="00EE0E9B" w:rsidP="007F6464">
      <w:pPr>
        <w:spacing w:line="480" w:lineRule="auto"/>
        <w:jc w:val="center"/>
        <w:rPr>
          <w:rFonts w:ascii="Times New Roman" w:hAnsi="Times New Roman" w:cs="Times New Roman"/>
          <w:sz w:val="24"/>
          <w:szCs w:val="24"/>
        </w:rPr>
      </w:pPr>
    </w:p>
    <w:p w:rsidR="00EE0E9B" w:rsidRDefault="00EE0E9B" w:rsidP="007F6464">
      <w:pPr>
        <w:spacing w:line="480" w:lineRule="auto"/>
        <w:jc w:val="center"/>
        <w:rPr>
          <w:rFonts w:ascii="Times New Roman" w:hAnsi="Times New Roman" w:cs="Times New Roman"/>
          <w:sz w:val="24"/>
          <w:szCs w:val="24"/>
        </w:rPr>
      </w:pPr>
    </w:p>
    <w:p w:rsidR="00EE0E9B" w:rsidRDefault="00EE0E9B" w:rsidP="007F6464">
      <w:pPr>
        <w:spacing w:line="480" w:lineRule="auto"/>
        <w:jc w:val="center"/>
        <w:rPr>
          <w:rFonts w:ascii="Times New Roman" w:hAnsi="Times New Roman" w:cs="Times New Roman"/>
          <w:sz w:val="24"/>
          <w:szCs w:val="24"/>
        </w:rPr>
      </w:pPr>
    </w:p>
    <w:p w:rsidR="00EE0E9B" w:rsidRDefault="00EE0E9B" w:rsidP="007F6464">
      <w:pPr>
        <w:spacing w:line="480" w:lineRule="auto"/>
        <w:rPr>
          <w:rFonts w:ascii="Times New Roman" w:hAnsi="Times New Roman" w:cs="Times New Roman"/>
          <w:sz w:val="24"/>
          <w:szCs w:val="24"/>
        </w:rPr>
      </w:pPr>
    </w:p>
    <w:p w:rsidR="00EE0E9B" w:rsidRDefault="00EE0E9B" w:rsidP="007F6464">
      <w:pPr>
        <w:spacing w:line="480" w:lineRule="auto"/>
        <w:jc w:val="center"/>
        <w:rPr>
          <w:rFonts w:ascii="Times New Roman" w:hAnsi="Times New Roman" w:cs="Times New Roman"/>
          <w:sz w:val="24"/>
          <w:szCs w:val="24"/>
        </w:rPr>
      </w:pPr>
    </w:p>
    <w:p w:rsidR="00EE0E9B" w:rsidRPr="00EE0E9B" w:rsidRDefault="00D9723F" w:rsidP="007F6464">
      <w:pPr>
        <w:spacing w:line="480" w:lineRule="auto"/>
        <w:jc w:val="center"/>
        <w:rPr>
          <w:rFonts w:ascii="Times New Roman" w:hAnsi="Times New Roman" w:cs="Times New Roman"/>
          <w:b/>
          <w:sz w:val="24"/>
          <w:szCs w:val="24"/>
        </w:rPr>
      </w:pPr>
      <w:r w:rsidRPr="00EE0E9B">
        <w:rPr>
          <w:rFonts w:ascii="Times New Roman" w:hAnsi="Times New Roman" w:cs="Times New Roman"/>
          <w:b/>
          <w:sz w:val="24"/>
          <w:szCs w:val="24"/>
        </w:rPr>
        <w:lastRenderedPageBreak/>
        <w:t>Company Name, Website, and Industry</w:t>
      </w:r>
    </w:p>
    <w:p w:rsidR="00EE0E9B" w:rsidRDefault="00D9723F" w:rsidP="007F64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company name is American International Group and their website is </w:t>
      </w:r>
      <w:hyperlink r:id="rId8" w:history="1">
        <w:r w:rsidRPr="00FF4430">
          <w:rPr>
            <w:rStyle w:val="Hyperlink"/>
            <w:rFonts w:ascii="Times New Roman" w:hAnsi="Times New Roman" w:cs="Times New Roman"/>
            <w:sz w:val="24"/>
            <w:szCs w:val="24"/>
          </w:rPr>
          <w:t>www.aig.com</w:t>
        </w:r>
      </w:hyperlink>
      <w:r>
        <w:rPr>
          <w:rFonts w:ascii="Times New Roman" w:hAnsi="Times New Roman" w:cs="Times New Roman"/>
          <w:sz w:val="24"/>
          <w:szCs w:val="24"/>
        </w:rPr>
        <w:t xml:space="preserve">. AIG is an </w:t>
      </w:r>
      <w:r>
        <w:rPr>
          <w:rFonts w:ascii="Times New Roman" w:hAnsi="Times New Roman" w:cs="Times New Roman"/>
          <w:sz w:val="24"/>
          <w:szCs w:val="24"/>
        </w:rPr>
        <w:t>insurance company</w:t>
      </w:r>
      <w:r w:rsidR="004F5C33">
        <w:rPr>
          <w:rFonts w:ascii="Times New Roman" w:hAnsi="Times New Roman" w:cs="Times New Roman"/>
          <w:sz w:val="24"/>
          <w:szCs w:val="24"/>
        </w:rPr>
        <w:t xml:space="preserve"> and thus it is a service industry. </w:t>
      </w:r>
    </w:p>
    <w:p w:rsidR="004F5C33" w:rsidRDefault="00D9723F" w:rsidP="007F6464">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Background and History</w:t>
      </w:r>
    </w:p>
    <w:p w:rsidR="004F5C33" w:rsidRDefault="00D9723F" w:rsidP="007F6464">
      <w:pPr>
        <w:spacing w:line="480" w:lineRule="auto"/>
        <w:ind w:firstLine="720"/>
        <w:rPr>
          <w:rFonts w:ascii="Times New Roman" w:hAnsi="Times New Roman" w:cs="Times New Roman"/>
          <w:sz w:val="24"/>
          <w:szCs w:val="24"/>
        </w:rPr>
      </w:pPr>
      <w:r>
        <w:rPr>
          <w:rFonts w:ascii="Times New Roman" w:hAnsi="Times New Roman" w:cs="Times New Roman"/>
          <w:sz w:val="24"/>
          <w:szCs w:val="24"/>
        </w:rPr>
        <w:t>American International Group is global insurance and finance company which has its operations in more than 80 jurisdictions and countries. By the end of the year, 2016, AIG employ</w:t>
      </w:r>
      <w:r>
        <w:rPr>
          <w:rFonts w:ascii="Times New Roman" w:hAnsi="Times New Roman" w:cs="Times New Roman"/>
          <w:sz w:val="24"/>
          <w:szCs w:val="24"/>
        </w:rPr>
        <w:t>ed about 56,400 people which made it one of the leading corporations in America</w:t>
      </w:r>
      <w:r w:rsidR="00024896">
        <w:rPr>
          <w:rFonts w:ascii="Times New Roman" w:hAnsi="Times New Roman" w:cs="Times New Roman"/>
          <w:sz w:val="24"/>
          <w:szCs w:val="24"/>
        </w:rPr>
        <w:t xml:space="preserve"> (Thomas, 2009)</w:t>
      </w:r>
      <w:r>
        <w:rPr>
          <w:rFonts w:ascii="Times New Roman" w:hAnsi="Times New Roman" w:cs="Times New Roman"/>
          <w:sz w:val="24"/>
          <w:szCs w:val="24"/>
        </w:rPr>
        <w:t>. The corporation operates via three core businesses: life and Retirement, standalone tech-enabled subsidiary and general insurance. The general insurance consist</w:t>
      </w:r>
      <w:r>
        <w:rPr>
          <w:rFonts w:ascii="Times New Roman" w:hAnsi="Times New Roman" w:cs="Times New Roman"/>
          <w:sz w:val="24"/>
          <w:szCs w:val="24"/>
        </w:rPr>
        <w:t xml:space="preserve">s of personal, commercial insurance, and international field operations while life and retirement consist of both individual and group retirement as well as institutional markets. </w:t>
      </w:r>
    </w:p>
    <w:p w:rsidR="004F5C33" w:rsidRDefault="00D9723F" w:rsidP="007F64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AIG fiasco study has the </w:t>
      </w:r>
      <w:r w:rsidR="00762454">
        <w:rPr>
          <w:rFonts w:ascii="Times New Roman" w:hAnsi="Times New Roman" w:cs="Times New Roman"/>
          <w:sz w:val="24"/>
          <w:szCs w:val="24"/>
        </w:rPr>
        <w:t xml:space="preserve">federal </w:t>
      </w:r>
      <w:r>
        <w:rPr>
          <w:rFonts w:ascii="Times New Roman" w:hAnsi="Times New Roman" w:cs="Times New Roman"/>
          <w:sz w:val="24"/>
          <w:szCs w:val="24"/>
        </w:rPr>
        <w:t>government, credit default swaps (CDSs</w:t>
      </w:r>
      <w:r>
        <w:rPr>
          <w:rFonts w:ascii="Times New Roman" w:hAnsi="Times New Roman" w:cs="Times New Roman"/>
          <w:sz w:val="24"/>
          <w:szCs w:val="24"/>
        </w:rPr>
        <w:t>)- an exotic product, the AIG financial services division</w:t>
      </w:r>
      <w:r w:rsidR="00762454">
        <w:rPr>
          <w:rFonts w:ascii="Times New Roman" w:hAnsi="Times New Roman" w:cs="Times New Roman"/>
          <w:sz w:val="24"/>
          <w:szCs w:val="24"/>
        </w:rPr>
        <w:t>, Jake DeSantis- AIG executive vice president, and the CEO of AID, Edward M. Liddy</w:t>
      </w:r>
      <w:r w:rsidR="00F509ED">
        <w:rPr>
          <w:rFonts w:ascii="Times New Roman" w:hAnsi="Times New Roman" w:cs="Times New Roman"/>
          <w:sz w:val="24"/>
          <w:szCs w:val="24"/>
        </w:rPr>
        <w:t xml:space="preserve"> as the key players. Additionally, NY State’s attorney general, Andrew Cuomo and Timothy Geithner- the treasury secretary at the time were among the officers in</w:t>
      </w:r>
      <w:r w:rsidR="00712D18">
        <w:rPr>
          <w:rFonts w:ascii="Times New Roman" w:hAnsi="Times New Roman" w:cs="Times New Roman"/>
          <w:sz w:val="24"/>
          <w:szCs w:val="24"/>
        </w:rPr>
        <w:t>v</w:t>
      </w:r>
      <w:r w:rsidR="00F509ED">
        <w:rPr>
          <w:rFonts w:ascii="Times New Roman" w:hAnsi="Times New Roman" w:cs="Times New Roman"/>
          <w:sz w:val="24"/>
          <w:szCs w:val="24"/>
        </w:rPr>
        <w:t>o</w:t>
      </w:r>
      <w:r w:rsidR="00712D18">
        <w:rPr>
          <w:rFonts w:ascii="Times New Roman" w:hAnsi="Times New Roman" w:cs="Times New Roman"/>
          <w:sz w:val="24"/>
          <w:szCs w:val="24"/>
        </w:rPr>
        <w:t>l</w:t>
      </w:r>
      <w:r w:rsidR="00F509ED">
        <w:rPr>
          <w:rFonts w:ascii="Times New Roman" w:hAnsi="Times New Roman" w:cs="Times New Roman"/>
          <w:sz w:val="24"/>
          <w:szCs w:val="24"/>
        </w:rPr>
        <w:t xml:space="preserve">ved in the study. </w:t>
      </w:r>
      <w:r w:rsidR="00712D18">
        <w:rPr>
          <w:rFonts w:ascii="Times New Roman" w:hAnsi="Times New Roman" w:cs="Times New Roman"/>
          <w:sz w:val="24"/>
          <w:szCs w:val="24"/>
        </w:rPr>
        <w:t>The AIG is still in business and its current status is as follows as per the annual report and AIG Financial Highlights</w:t>
      </w:r>
      <w:r w:rsidR="00B31F18">
        <w:rPr>
          <w:rFonts w:ascii="Times New Roman" w:hAnsi="Times New Roman" w:cs="Times New Roman"/>
          <w:sz w:val="24"/>
          <w:szCs w:val="24"/>
        </w:rPr>
        <w:t xml:space="preserve"> as obtained from </w:t>
      </w:r>
      <w:hyperlink r:id="rId9" w:history="1">
        <w:r w:rsidR="00B31F18" w:rsidRPr="00FF4430">
          <w:rPr>
            <w:rStyle w:val="Hyperlink"/>
            <w:rFonts w:ascii="Times New Roman" w:hAnsi="Times New Roman" w:cs="Times New Roman"/>
            <w:sz w:val="24"/>
            <w:szCs w:val="24"/>
          </w:rPr>
          <w:t>www.aig.com</w:t>
        </w:r>
      </w:hyperlink>
      <w:r w:rsidR="00B31F18">
        <w:rPr>
          <w:rFonts w:ascii="Times New Roman" w:hAnsi="Times New Roman" w:cs="Times New Roman"/>
          <w:sz w:val="24"/>
          <w:szCs w:val="24"/>
        </w:rPr>
        <w:t xml:space="preserve"> </w:t>
      </w:r>
      <w:r w:rsidR="00712D18">
        <w:rPr>
          <w:rFonts w:ascii="Times New Roman" w:hAnsi="Times New Roman" w:cs="Times New Roman"/>
          <w:sz w:val="24"/>
          <w:szCs w:val="24"/>
        </w:rPr>
        <w:t>;</w:t>
      </w:r>
    </w:p>
    <w:p w:rsidR="00712D18" w:rsidRDefault="00D9723F" w:rsidP="007F646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CEO </w:t>
      </w:r>
      <w:r>
        <w:rPr>
          <w:rFonts w:ascii="Times New Roman" w:hAnsi="Times New Roman" w:cs="Times New Roman"/>
          <w:sz w:val="24"/>
          <w:szCs w:val="24"/>
        </w:rPr>
        <w:t>and President: Brian Duperreault</w:t>
      </w:r>
    </w:p>
    <w:p w:rsidR="00712D18" w:rsidRDefault="00D9723F" w:rsidP="007F646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Executive Vice president and CFO: Siddhartha Sankaran</w:t>
      </w:r>
    </w:p>
    <w:p w:rsidR="00712D18" w:rsidRDefault="00D9723F" w:rsidP="007F646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Total Assets: the US $ 498.30 billion as per the 2017 annual report</w:t>
      </w:r>
    </w:p>
    <w:p w:rsidR="000436B9" w:rsidRDefault="00D9723F" w:rsidP="007F6464">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Net Income: the US $ 6.08 billion</w:t>
      </w:r>
    </w:p>
    <w:p w:rsidR="000436B9" w:rsidRDefault="00D9723F" w:rsidP="007F6464">
      <w:pPr>
        <w:spacing w:line="480" w:lineRule="auto"/>
        <w:ind w:left="360"/>
        <w:rPr>
          <w:rFonts w:ascii="Times New Roman" w:hAnsi="Times New Roman" w:cs="Times New Roman"/>
          <w:sz w:val="24"/>
          <w:szCs w:val="24"/>
        </w:rPr>
      </w:pPr>
      <w:r>
        <w:rPr>
          <w:rFonts w:ascii="Times New Roman" w:hAnsi="Times New Roman" w:cs="Times New Roman"/>
          <w:sz w:val="24"/>
          <w:szCs w:val="24"/>
        </w:rPr>
        <w:lastRenderedPageBreak/>
        <w:t xml:space="preserve">The key events in the company’s history as obtained from </w:t>
      </w:r>
      <w:hyperlink r:id="rId10" w:history="1">
        <w:r w:rsidRPr="00FF4430">
          <w:rPr>
            <w:rStyle w:val="Hyperlink"/>
            <w:rFonts w:ascii="Times New Roman" w:hAnsi="Times New Roman" w:cs="Times New Roman"/>
            <w:sz w:val="24"/>
            <w:szCs w:val="24"/>
          </w:rPr>
          <w:t>http://www.aig.com/about-us/history/timeline</w:t>
        </w:r>
      </w:hyperlink>
      <w:r>
        <w:rPr>
          <w:rFonts w:ascii="Times New Roman" w:hAnsi="Times New Roman" w:cs="Times New Roman"/>
          <w:sz w:val="24"/>
          <w:szCs w:val="24"/>
        </w:rPr>
        <w:t xml:space="preserve">   are as follows;</w:t>
      </w:r>
    </w:p>
    <w:p w:rsidR="000436B9" w:rsidRDefault="00D9723F" w:rsidP="007F646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 1919- Company founded by Cornelius Vander Starr in Shanghai China</w:t>
      </w:r>
    </w:p>
    <w:p w:rsidR="00712D18" w:rsidRDefault="00D9723F" w:rsidP="007F646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1926- company moves offices to the US (opens in New York) </w:t>
      </w:r>
    </w:p>
    <w:p w:rsidR="000436B9" w:rsidRDefault="00D9723F" w:rsidP="007F646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1943- AIG’s foun</w:t>
      </w:r>
      <w:r>
        <w:rPr>
          <w:rFonts w:ascii="Times New Roman" w:hAnsi="Times New Roman" w:cs="Times New Roman"/>
          <w:sz w:val="24"/>
          <w:szCs w:val="24"/>
        </w:rPr>
        <w:t>der and CEO, Cornelius Vander Starr helps company employees that had been affected by the 2</w:t>
      </w:r>
      <w:r w:rsidRPr="000436B9">
        <w:rPr>
          <w:rFonts w:ascii="Times New Roman" w:hAnsi="Times New Roman" w:cs="Times New Roman"/>
          <w:sz w:val="24"/>
          <w:szCs w:val="24"/>
          <w:vertAlign w:val="superscript"/>
        </w:rPr>
        <w:t>nd</w:t>
      </w:r>
      <w:r>
        <w:rPr>
          <w:rFonts w:ascii="Times New Roman" w:hAnsi="Times New Roman" w:cs="Times New Roman"/>
          <w:sz w:val="24"/>
          <w:szCs w:val="24"/>
        </w:rPr>
        <w:t xml:space="preserve"> world war. He provides supplies during the war, financial support and also offers jobs after the war is over.</w:t>
      </w:r>
    </w:p>
    <w:p w:rsidR="000436B9" w:rsidRDefault="00D9723F" w:rsidP="007F646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1952-  acquisition of Rutgers Insurance and general </w:t>
      </w:r>
      <w:r>
        <w:rPr>
          <w:rFonts w:ascii="Times New Roman" w:hAnsi="Times New Roman" w:cs="Times New Roman"/>
          <w:sz w:val="24"/>
          <w:szCs w:val="24"/>
        </w:rPr>
        <w:t xml:space="preserve">insurer Globe Group. This expanded the corporations domestic market existence. </w:t>
      </w:r>
    </w:p>
    <w:p w:rsidR="000436B9" w:rsidRDefault="00D9723F" w:rsidP="007F646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1969- The company stock starts publicly trading. </w:t>
      </w:r>
    </w:p>
    <w:p w:rsidR="000436B9" w:rsidRDefault="00D9723F" w:rsidP="007F646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1975- AIG becomes the first U.S company to establish a one-on-one business relationship with the public in the Republic of Chi</w:t>
      </w:r>
      <w:r>
        <w:rPr>
          <w:rFonts w:ascii="Times New Roman" w:hAnsi="Times New Roman" w:cs="Times New Roman"/>
          <w:sz w:val="24"/>
          <w:szCs w:val="24"/>
        </w:rPr>
        <w:t>na.</w:t>
      </w:r>
    </w:p>
    <w:p w:rsidR="000436B9" w:rsidRDefault="00D9723F" w:rsidP="007F646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2007- AIG becomes the leading insurance company of the World Trade Center project. The company works hand in hand with the construction developers and workers to ensure the people who worked at the site were safe.</w:t>
      </w:r>
    </w:p>
    <w:p w:rsidR="00FD39E0" w:rsidRDefault="00D9723F" w:rsidP="007F646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2008- Economic Crisis and Fed governme</w:t>
      </w:r>
      <w:r>
        <w:rPr>
          <w:rFonts w:ascii="Times New Roman" w:hAnsi="Times New Roman" w:cs="Times New Roman"/>
          <w:sz w:val="24"/>
          <w:szCs w:val="24"/>
        </w:rPr>
        <w:t>nt bailout. The company had used credit default swaps to insure themselves. However, amidst the economic crisis, AIG had to pay the CDS.</w:t>
      </w:r>
    </w:p>
    <w:p w:rsidR="000436B9" w:rsidRDefault="00D9723F" w:rsidP="007F646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2015- AIG develops unmanned aircraft insurance after getting an approval from the FAA. </w:t>
      </w:r>
    </w:p>
    <w:p w:rsidR="000436B9" w:rsidRDefault="00D9723F" w:rsidP="007F6464">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2017- Brian Duperreault becomes</w:t>
      </w:r>
      <w:r>
        <w:rPr>
          <w:rFonts w:ascii="Times New Roman" w:hAnsi="Times New Roman" w:cs="Times New Roman"/>
          <w:sz w:val="24"/>
          <w:szCs w:val="24"/>
        </w:rPr>
        <w:t xml:space="preserve"> the new AIG CEO and President</w:t>
      </w:r>
    </w:p>
    <w:p w:rsidR="000436B9" w:rsidRDefault="00D9723F" w:rsidP="007F6464">
      <w:pPr>
        <w:spacing w:line="480" w:lineRule="auto"/>
        <w:jc w:val="center"/>
        <w:rPr>
          <w:rFonts w:ascii="Times New Roman" w:hAnsi="Times New Roman" w:cs="Times New Roman"/>
          <w:b/>
          <w:sz w:val="24"/>
          <w:szCs w:val="24"/>
        </w:rPr>
      </w:pPr>
      <w:r w:rsidRPr="00FD39E0">
        <w:rPr>
          <w:rFonts w:ascii="Times New Roman" w:hAnsi="Times New Roman" w:cs="Times New Roman"/>
          <w:b/>
          <w:sz w:val="24"/>
          <w:szCs w:val="24"/>
        </w:rPr>
        <w:t xml:space="preserve">Analysis </w:t>
      </w:r>
      <w:proofErr w:type="gramStart"/>
      <w:r w:rsidRPr="00FD39E0">
        <w:rPr>
          <w:rFonts w:ascii="Times New Roman" w:hAnsi="Times New Roman" w:cs="Times New Roman"/>
          <w:b/>
          <w:sz w:val="24"/>
          <w:szCs w:val="24"/>
        </w:rPr>
        <w:t>Via</w:t>
      </w:r>
      <w:proofErr w:type="gramEnd"/>
      <w:r w:rsidRPr="00FD39E0">
        <w:rPr>
          <w:rFonts w:ascii="Times New Roman" w:hAnsi="Times New Roman" w:cs="Times New Roman"/>
          <w:b/>
          <w:sz w:val="24"/>
          <w:szCs w:val="24"/>
        </w:rPr>
        <w:t xml:space="preserve"> Porter’s Five Forces Model</w:t>
      </w:r>
    </w:p>
    <w:p w:rsidR="00FD39E0" w:rsidRDefault="00D9723F" w:rsidP="00445456">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 xml:space="preserve">The company’s five forces that determine the competition in the industry encompass the threat to new entrants, bargaining power of sellers, bargaining power of buyers, the threat posed </w:t>
      </w:r>
      <w:r>
        <w:rPr>
          <w:rFonts w:ascii="Times New Roman" w:hAnsi="Times New Roman" w:cs="Times New Roman"/>
          <w:sz w:val="24"/>
          <w:szCs w:val="24"/>
        </w:rPr>
        <w:t>by substitute goods and services, and finally the rivalry among competitors.</w:t>
      </w:r>
    </w:p>
    <w:p w:rsidR="00FD39E0" w:rsidRDefault="00D9723F" w:rsidP="007F6464">
      <w:pPr>
        <w:spacing w:line="480" w:lineRule="auto"/>
        <w:rPr>
          <w:rFonts w:ascii="Times New Roman" w:hAnsi="Times New Roman" w:cs="Times New Roman"/>
          <w:b/>
          <w:sz w:val="24"/>
          <w:szCs w:val="24"/>
        </w:rPr>
      </w:pPr>
      <w:r>
        <w:rPr>
          <w:rFonts w:ascii="Times New Roman" w:hAnsi="Times New Roman" w:cs="Times New Roman"/>
          <w:b/>
          <w:sz w:val="24"/>
          <w:szCs w:val="24"/>
        </w:rPr>
        <w:t>The threat to New Entrants</w:t>
      </w:r>
    </w:p>
    <w:p w:rsidR="005008AE" w:rsidRDefault="00D9723F" w:rsidP="007F646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competition here is Low-moderate. The amount of capital that is needed to begin an insurance company can block people from entering</w:t>
      </w:r>
      <w:r w:rsidR="00271877">
        <w:rPr>
          <w:rFonts w:ascii="Times New Roman" w:hAnsi="Times New Roman" w:cs="Times New Roman"/>
          <w:sz w:val="24"/>
          <w:szCs w:val="24"/>
        </w:rPr>
        <w:t xml:space="preserve"> the industry. Apart from the high capital requirements, the old big companies enjoy selling their products at low prices per unit hence driving the overall market prices down (Porter, 2008). This is a discouragement to the new entrants. Other potential threats come from banks and financial markets like Bank of America.</w:t>
      </w:r>
    </w:p>
    <w:p w:rsidR="005008AE" w:rsidRDefault="00D9723F" w:rsidP="007F6464">
      <w:pPr>
        <w:spacing w:line="480" w:lineRule="auto"/>
        <w:rPr>
          <w:rFonts w:ascii="Times New Roman" w:hAnsi="Times New Roman" w:cs="Times New Roman"/>
          <w:b/>
          <w:sz w:val="24"/>
          <w:szCs w:val="24"/>
        </w:rPr>
      </w:pPr>
      <w:r w:rsidRPr="005008AE">
        <w:rPr>
          <w:rFonts w:ascii="Times New Roman" w:hAnsi="Times New Roman" w:cs="Times New Roman"/>
          <w:b/>
          <w:sz w:val="24"/>
          <w:szCs w:val="24"/>
        </w:rPr>
        <w:t>The Bargaining Power of Buyers</w:t>
      </w:r>
      <w:r w:rsidR="00271877" w:rsidRPr="005008AE">
        <w:rPr>
          <w:rFonts w:ascii="Times New Roman" w:hAnsi="Times New Roman" w:cs="Times New Roman"/>
          <w:b/>
          <w:sz w:val="24"/>
          <w:szCs w:val="24"/>
        </w:rPr>
        <w:t xml:space="preserve"> </w:t>
      </w:r>
    </w:p>
    <w:p w:rsidR="005008AE" w:rsidRDefault="00D9723F" w:rsidP="007F64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Customers are able to capture more value by pushing down prices which happens when they demand more services or better quality which is all at the expense of </w:t>
      </w:r>
      <w:r>
        <w:rPr>
          <w:rFonts w:ascii="Times New Roman" w:hAnsi="Times New Roman" w:cs="Times New Roman"/>
          <w:sz w:val="24"/>
          <w:szCs w:val="24"/>
        </w:rPr>
        <w:t>an industry's profitability. The competitive environment is moderate here and it is as follows;</w:t>
      </w:r>
    </w:p>
    <w:p w:rsidR="005008AE" w:rsidRDefault="00D9723F" w:rsidP="007F6464">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Prices are a major determinant </w:t>
      </w:r>
    </w:p>
    <w:p w:rsidR="005008AE" w:rsidRDefault="00D9723F" w:rsidP="007F6464">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There is high switching of costs</w:t>
      </w:r>
    </w:p>
    <w:p w:rsidR="005008AE" w:rsidRDefault="00D9723F" w:rsidP="007F6464">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The products offered by insurance companies are mostly standard</w:t>
      </w:r>
    </w:p>
    <w:p w:rsidR="005008AE" w:rsidRDefault="00D9723F" w:rsidP="007F6464">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It is unlikely that a customer </w:t>
      </w:r>
      <w:r>
        <w:rPr>
          <w:rFonts w:ascii="Times New Roman" w:hAnsi="Times New Roman" w:cs="Times New Roman"/>
          <w:sz w:val="24"/>
          <w:szCs w:val="24"/>
        </w:rPr>
        <w:t>will switch once he or she buys an insurance</w:t>
      </w:r>
    </w:p>
    <w:p w:rsidR="005008AE" w:rsidRDefault="00D9723F" w:rsidP="007F6464">
      <w:pPr>
        <w:spacing w:line="480" w:lineRule="auto"/>
        <w:rPr>
          <w:rFonts w:ascii="Times New Roman" w:hAnsi="Times New Roman" w:cs="Times New Roman"/>
          <w:b/>
          <w:sz w:val="24"/>
          <w:szCs w:val="24"/>
        </w:rPr>
      </w:pPr>
      <w:r w:rsidRPr="005008AE">
        <w:rPr>
          <w:rFonts w:ascii="Times New Roman" w:hAnsi="Times New Roman" w:cs="Times New Roman"/>
          <w:b/>
          <w:sz w:val="24"/>
          <w:szCs w:val="24"/>
        </w:rPr>
        <w:t>The Bargaining Power of Suppliers</w:t>
      </w:r>
    </w:p>
    <w:p w:rsidR="005008AE" w:rsidRDefault="00D9723F" w:rsidP="007F64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Suppliers show their power when they charge high prices shifting cost or limiting the quality of products and services. There are two types of suppliers; investors that provide </w:t>
      </w:r>
      <w:r>
        <w:rPr>
          <w:rFonts w:ascii="Times New Roman" w:hAnsi="Times New Roman" w:cs="Times New Roman"/>
          <w:sz w:val="24"/>
          <w:szCs w:val="24"/>
        </w:rPr>
        <w:t xml:space="preserve">financial support and paper companies. However, AIG with the exception of the 2008 bailout, is </w:t>
      </w:r>
      <w:r>
        <w:rPr>
          <w:rFonts w:ascii="Times New Roman" w:hAnsi="Times New Roman" w:cs="Times New Roman"/>
          <w:sz w:val="24"/>
          <w:szCs w:val="24"/>
        </w:rPr>
        <w:lastRenderedPageBreak/>
        <w:t>a big company that does not rely on funds from other sources. Consequently, AIG was able to repay the Federal Government and in so doing, the corporation does no</w:t>
      </w:r>
      <w:r>
        <w:rPr>
          <w:rFonts w:ascii="Times New Roman" w:hAnsi="Times New Roman" w:cs="Times New Roman"/>
          <w:sz w:val="24"/>
          <w:szCs w:val="24"/>
        </w:rPr>
        <w:t>t have a supplier that holds a high bargaining power.</w:t>
      </w:r>
    </w:p>
    <w:p w:rsidR="005008AE" w:rsidRDefault="00D9723F" w:rsidP="007F6464">
      <w:pPr>
        <w:spacing w:line="480" w:lineRule="auto"/>
        <w:rPr>
          <w:rFonts w:ascii="Times New Roman" w:hAnsi="Times New Roman" w:cs="Times New Roman"/>
          <w:b/>
          <w:sz w:val="24"/>
          <w:szCs w:val="24"/>
        </w:rPr>
      </w:pPr>
      <w:r>
        <w:rPr>
          <w:rFonts w:ascii="Times New Roman" w:hAnsi="Times New Roman" w:cs="Times New Roman"/>
          <w:b/>
          <w:sz w:val="24"/>
          <w:szCs w:val="24"/>
        </w:rPr>
        <w:t>Threat of Substitutes</w:t>
      </w:r>
    </w:p>
    <w:p w:rsidR="005008AE" w:rsidRDefault="00D9723F" w:rsidP="007F6464">
      <w:pPr>
        <w:spacing w:line="480" w:lineRule="auto"/>
        <w:rPr>
          <w:rFonts w:ascii="Times New Roman" w:hAnsi="Times New Roman" w:cs="Times New Roman"/>
          <w:sz w:val="24"/>
          <w:szCs w:val="24"/>
        </w:rPr>
      </w:pPr>
      <w:r w:rsidRPr="00F65420">
        <w:rPr>
          <w:rFonts w:ascii="Times New Roman" w:hAnsi="Times New Roman" w:cs="Times New Roman"/>
          <w:sz w:val="24"/>
          <w:szCs w:val="24"/>
        </w:rPr>
        <w:t>There are certain types of insurance that are required by the law and they include;</w:t>
      </w:r>
    </w:p>
    <w:p w:rsidR="00F65420" w:rsidRDefault="00D9723F" w:rsidP="007F6464">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Employee’s compensation insurance</w:t>
      </w:r>
    </w:p>
    <w:p w:rsidR="00F65420" w:rsidRDefault="00D9723F" w:rsidP="007F6464">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Unemployment insurance</w:t>
      </w:r>
    </w:p>
    <w:p w:rsidR="00F65420" w:rsidRDefault="00D9723F" w:rsidP="007F6464">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Motor vehicle insurance</w:t>
      </w:r>
    </w:p>
    <w:p w:rsidR="00F65420" w:rsidRDefault="00D9723F" w:rsidP="007F6464">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Alternative-self-insure</w:t>
      </w:r>
    </w:p>
    <w:p w:rsidR="00F65420" w:rsidRDefault="00D9723F" w:rsidP="007F6464">
      <w:pPr>
        <w:spacing w:line="480" w:lineRule="auto"/>
        <w:rPr>
          <w:rFonts w:ascii="Times New Roman" w:hAnsi="Times New Roman" w:cs="Times New Roman"/>
          <w:b/>
          <w:sz w:val="24"/>
          <w:szCs w:val="24"/>
        </w:rPr>
      </w:pPr>
      <w:r w:rsidRPr="00F65420">
        <w:rPr>
          <w:rFonts w:ascii="Times New Roman" w:hAnsi="Times New Roman" w:cs="Times New Roman"/>
          <w:b/>
          <w:sz w:val="24"/>
          <w:szCs w:val="24"/>
        </w:rPr>
        <w:t>The intensity of Rivalry Among Competitors</w:t>
      </w:r>
    </w:p>
    <w:p w:rsidR="00F65420" w:rsidRDefault="00D9723F" w:rsidP="007F6464">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The choice a buyer makes is heavily based on the service quality and price comparison</w:t>
      </w:r>
    </w:p>
    <w:p w:rsidR="00F65420" w:rsidRDefault="00D9723F" w:rsidP="007F6464">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sz w:val="24"/>
          <w:szCs w:val="24"/>
        </w:rPr>
        <w:t>Insurance is perceived as a product</w:t>
      </w:r>
    </w:p>
    <w:p w:rsidR="00F65420" w:rsidRDefault="00D9723F" w:rsidP="007F6464">
      <w:pPr>
        <w:pStyle w:val="ListParagraph"/>
        <w:numPr>
          <w:ilvl w:val="0"/>
          <w:numId w:val="6"/>
        </w:num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82816" behindDoc="0" locked="0" layoutInCell="1" allowOverlap="1" wp14:anchorId="33F5BC7F" wp14:editId="754D232F">
                <wp:simplePos x="0" y="0"/>
                <wp:positionH relativeFrom="column">
                  <wp:posOffset>2209800</wp:posOffset>
                </wp:positionH>
                <wp:positionV relativeFrom="paragraph">
                  <wp:posOffset>277495</wp:posOffset>
                </wp:positionV>
                <wp:extent cx="2200275" cy="1123950"/>
                <wp:effectExtent l="0" t="0" r="28575" b="19050"/>
                <wp:wrapNone/>
                <wp:docPr id="13" name="Text Box 13"/>
                <wp:cNvGraphicFramePr/>
                <a:graphic xmlns:a="http://schemas.openxmlformats.org/drawingml/2006/main">
                  <a:graphicData uri="http://schemas.microsoft.com/office/word/2010/wordprocessingShape">
                    <wps:wsp>
                      <wps:cNvSpPr txBox="1"/>
                      <wps:spPr>
                        <a:xfrm>
                          <a:off x="0" y="0"/>
                          <a:ext cx="2200275" cy="1123950"/>
                        </a:xfrm>
                        <a:prstGeom prst="rect">
                          <a:avLst/>
                        </a:prstGeom>
                        <a:solidFill>
                          <a:schemeClr val="lt1"/>
                        </a:solidFill>
                        <a:ln w="6350">
                          <a:solidFill>
                            <a:prstClr val="black"/>
                          </a:solidFill>
                        </a:ln>
                      </wps:spPr>
                      <wps:txbx>
                        <w:txbxContent>
                          <w:p w:rsidR="003312CD" w:rsidRPr="003312CD" w:rsidRDefault="00D9723F">
                            <w:pPr>
                              <w:rPr>
                                <w:b/>
                              </w:rPr>
                            </w:pPr>
                            <w:r w:rsidRPr="003312CD">
                              <w:rPr>
                                <w:b/>
                              </w:rPr>
                              <w:t>Threats of new entrants</w:t>
                            </w:r>
                          </w:p>
                          <w:p w:rsidR="003312CD" w:rsidRDefault="00D9723F">
                            <w:r>
                              <w:t>-high capital</w:t>
                            </w:r>
                          </w:p>
                          <w:p w:rsidR="003312CD" w:rsidRDefault="00D9723F">
                            <w:r>
                              <w:t xml:space="preserve">- competition from </w:t>
                            </w:r>
                            <w:r>
                              <w:t>financial firms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13" o:spid="_x0000_s1025" type="#_x0000_t202" style="width:173.25pt;height:88.5pt;margin-top:21.85pt;margin-left:174pt;mso-height-percent:0;mso-height-relative:margin;mso-width-percent:0;mso-width-relative:margin;mso-wrap-distance-bottom:0;mso-wrap-distance-left:9pt;mso-wrap-distance-right:9pt;mso-wrap-distance-top:0;mso-wrap-style:square;position:absolute;visibility:visible;v-text-anchor:top;z-index:251683840" fillcolor="white" strokeweight="0.5pt">
                <v:textbox>
                  <w:txbxContent>
                    <w:p w:rsidR="003312CD" w:rsidRPr="003312CD" w14:paraId="75344307" w14:textId="6C30CA71">
                      <w:pPr>
                        <w:rPr>
                          <w:b/>
                        </w:rPr>
                      </w:pPr>
                      <w:r w:rsidRPr="003312CD">
                        <w:rPr>
                          <w:b/>
                        </w:rPr>
                        <w:t>Threats of new entrants</w:t>
                      </w:r>
                    </w:p>
                    <w:p w:rsidR="003312CD" w14:paraId="26D33B73" w14:textId="4556BFC8">
                      <w:r>
                        <w:t>-high capital</w:t>
                      </w:r>
                    </w:p>
                    <w:p w:rsidR="003312CD" w14:paraId="2C0842E9" w14:textId="2B1F74C3">
                      <w:r>
                        <w:t>- competition from financial firms</w:t>
                      </w:r>
                    </w:p>
                  </w:txbxContent>
                </v:textbox>
              </v:shap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668480" behindDoc="0" locked="0" layoutInCell="1" allowOverlap="1" wp14:anchorId="2B4BB41E" wp14:editId="1249A80F">
                <wp:simplePos x="0" y="0"/>
                <wp:positionH relativeFrom="column">
                  <wp:posOffset>2162175</wp:posOffset>
                </wp:positionH>
                <wp:positionV relativeFrom="paragraph">
                  <wp:posOffset>239395</wp:posOffset>
                </wp:positionV>
                <wp:extent cx="2266950" cy="1181100"/>
                <wp:effectExtent l="0" t="0" r="19050" b="19050"/>
                <wp:wrapNone/>
                <wp:docPr id="6" name="Rectangle: Rounded Corners 6"/>
                <wp:cNvGraphicFramePr/>
                <a:graphic xmlns:a="http://schemas.openxmlformats.org/drawingml/2006/main">
                  <a:graphicData uri="http://schemas.microsoft.com/office/word/2010/wordprocessingShape">
                    <wps:wsp>
                      <wps:cNvSpPr/>
                      <wps:spPr>
                        <a:xfrm>
                          <a:off x="0" y="0"/>
                          <a:ext cx="2266950" cy="11811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ectangle: Rounded Corners 6" o:spid="_x0000_s1026" style="width:178.5pt;height:93pt;margin-top:18.85pt;margin-left:170.25pt;mso-wrap-distance-bottom:0;mso-wrap-distance-left:9pt;mso-wrap-distance-right:9pt;mso-wrap-distance-top:0;mso-wrap-style:square;position:absolute;visibility:visible;v-text-anchor:middle;z-index:251669504" arcsize="10923f" fillcolor="#4472c4" strokecolor="#1f3763" strokeweight="1pt">
                <v:stroke joinstyle="miter"/>
              </v:roundrect>
            </w:pict>
          </mc:Fallback>
        </mc:AlternateContent>
      </w:r>
      <w:r w:rsidR="00F65420">
        <w:rPr>
          <w:rFonts w:ascii="Times New Roman" w:hAnsi="Times New Roman" w:cs="Times New Roman"/>
          <w:sz w:val="24"/>
          <w:szCs w:val="24"/>
        </w:rPr>
        <w:t xml:space="preserve">The companies with high investment returns are the ones that insurance companies eye to lure. </w:t>
      </w:r>
    </w:p>
    <w:p w:rsidR="003312CD" w:rsidRDefault="00D9723F" w:rsidP="007F6464">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85888" behindDoc="0" locked="0" layoutInCell="1" allowOverlap="1" wp14:anchorId="2EC11407" wp14:editId="402A1C72">
                <wp:simplePos x="0" y="0"/>
                <wp:positionH relativeFrom="column">
                  <wp:posOffset>-409574</wp:posOffset>
                </wp:positionH>
                <wp:positionV relativeFrom="paragraph">
                  <wp:posOffset>74931</wp:posOffset>
                </wp:positionV>
                <wp:extent cx="2171700" cy="1028700"/>
                <wp:effectExtent l="0" t="0" r="19050" b="19050"/>
                <wp:wrapNone/>
                <wp:docPr id="14" name="Text Box 14"/>
                <wp:cNvGraphicFramePr/>
                <a:graphic xmlns:a="http://schemas.openxmlformats.org/drawingml/2006/main">
                  <a:graphicData uri="http://schemas.microsoft.com/office/word/2010/wordprocessingShape">
                    <wps:wsp>
                      <wps:cNvSpPr txBox="1"/>
                      <wps:spPr>
                        <a:xfrm>
                          <a:off x="0" y="0"/>
                          <a:ext cx="2171700" cy="1028700"/>
                        </a:xfrm>
                        <a:prstGeom prst="rect">
                          <a:avLst/>
                        </a:prstGeom>
                        <a:solidFill>
                          <a:schemeClr val="lt1"/>
                        </a:solidFill>
                        <a:ln w="6350">
                          <a:solidFill>
                            <a:prstClr val="black"/>
                          </a:solidFill>
                        </a:ln>
                      </wps:spPr>
                      <wps:txbx>
                        <w:txbxContent>
                          <w:p w:rsidR="003312CD" w:rsidRPr="003312CD" w:rsidRDefault="00D9723F">
                            <w:pPr>
                              <w:rPr>
                                <w:b/>
                              </w:rPr>
                            </w:pPr>
                            <w:r w:rsidRPr="003312CD">
                              <w:rPr>
                                <w:b/>
                              </w:rPr>
                              <w:t>Bargaining Power</w:t>
                            </w:r>
                            <w:r>
                              <w:rPr>
                                <w:b/>
                              </w:rPr>
                              <w:t xml:space="preserve"> (buyers)</w:t>
                            </w:r>
                          </w:p>
                          <w:p w:rsidR="003312CD" w:rsidRDefault="00D9723F">
                            <w:r>
                              <w:t>-price is a determinant</w:t>
                            </w:r>
                          </w:p>
                          <w:p w:rsidR="003312CD" w:rsidRDefault="00D9723F">
                            <w:r>
                              <w:t>-high-cost switching</w:t>
                            </w:r>
                          </w:p>
                          <w:p w:rsidR="003312CD" w:rsidRDefault="003312CD"/>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4" o:spid="_x0000_s1027" type="#_x0000_t202" style="width:171pt;height:81pt;margin-top:5.9pt;margin-left:-32.25pt;mso-height-percent:0;mso-height-relative:margin;mso-width-percent:0;mso-width-relative:margin;mso-wrap-distance-bottom:0;mso-wrap-distance-left:9pt;mso-wrap-distance-right:9pt;mso-wrap-distance-top:0;position:absolute;v-text-anchor:top;z-index:251684864" fillcolor="white" stroked="t" strokecolor="black" strokeweight="0.5pt">
                <v:textbox>
                  <w:txbxContent>
                    <w:p w:rsidR="003312CD" w:rsidRPr="003312CD" w14:paraId="5C321157" w14:textId="60C3A994">
                      <w:pPr>
                        <w:rPr>
                          <w:b/>
                        </w:rPr>
                      </w:pPr>
                      <w:r w:rsidRPr="003312CD">
                        <w:rPr>
                          <w:b/>
                        </w:rPr>
                        <w:t>Bargaining Power</w:t>
                      </w:r>
                      <w:r>
                        <w:rPr>
                          <w:b/>
                        </w:rPr>
                        <w:t xml:space="preserve"> (buyers)</w:t>
                      </w:r>
                    </w:p>
                    <w:p w:rsidR="003312CD" w14:paraId="744683A5" w14:textId="57705A6D">
                      <w:r>
                        <w:t>-price is a determinant</w:t>
                      </w:r>
                    </w:p>
                    <w:p w:rsidR="003312CD" w14:paraId="0C49FD50" w14:textId="0869BF18">
                      <w:r>
                        <w:t>-high-cost switching
</w:t>
                      </w:r>
                    </w:p>
                    <w:p w:rsidR="003312CD" w14:paraId="5BD4B3EA" w14:textId="77777777"/>
                  </w:txbxContent>
                </v:textbox>
              </v:shap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658240" behindDoc="0" locked="0" layoutInCell="1" allowOverlap="1" wp14:anchorId="2A921B54" wp14:editId="422F3E28">
                <wp:simplePos x="0" y="0"/>
                <wp:positionH relativeFrom="column">
                  <wp:posOffset>-466725</wp:posOffset>
                </wp:positionH>
                <wp:positionV relativeFrom="paragraph">
                  <wp:posOffset>8255</wp:posOffset>
                </wp:positionV>
                <wp:extent cx="2247900" cy="1114425"/>
                <wp:effectExtent l="0" t="0" r="19050" b="28575"/>
                <wp:wrapNone/>
                <wp:docPr id="1" name="Rectangle: Rounded Corners 1"/>
                <wp:cNvGraphicFramePr/>
                <a:graphic xmlns:a="http://schemas.openxmlformats.org/drawingml/2006/main">
                  <a:graphicData uri="http://schemas.microsoft.com/office/word/2010/wordprocessingShape">
                    <wps:wsp>
                      <wps:cNvSpPr/>
                      <wps:spPr>
                        <a:xfrm>
                          <a:off x="0" y="0"/>
                          <a:ext cx="2247900" cy="11144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ectangle: Rounded Corners 1" o:spid="_x0000_s1028" style="width:177pt;height:87.75pt;margin-top:0.65pt;margin-left:-36.75pt;mso-height-percent:0;mso-height-relative:margin;mso-wrap-distance-bottom:0;mso-wrap-distance-left:9pt;mso-wrap-distance-right:9pt;mso-wrap-distance-top:0;mso-wrap-style:square;position:absolute;visibility:visible;v-text-anchor:middle;z-index:251659264" arcsize="10923f" fillcolor="#4472c4" strokecolor="#1f3763" strokeweight="1pt">
                <v:stroke joinstyle="miter"/>
              </v:roundrect>
            </w:pict>
          </mc:Fallback>
        </mc:AlternateContent>
      </w:r>
    </w:p>
    <w:p w:rsidR="003312CD" w:rsidRDefault="00D9723F" w:rsidP="007F6464">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78720" behindDoc="0" locked="0" layoutInCell="1" allowOverlap="1" wp14:anchorId="297059CD" wp14:editId="5631DC12">
                <wp:simplePos x="0" y="0"/>
                <wp:positionH relativeFrom="column">
                  <wp:posOffset>2990850</wp:posOffset>
                </wp:positionH>
                <wp:positionV relativeFrom="paragraph">
                  <wp:posOffset>165735</wp:posOffset>
                </wp:positionV>
                <wp:extent cx="9525" cy="466725"/>
                <wp:effectExtent l="76200" t="38100" r="66675" b="28575"/>
                <wp:wrapNone/>
                <wp:docPr id="11" name="Straight Arrow Connector 11"/>
                <wp:cNvGraphicFramePr/>
                <a:graphic xmlns:a="http://schemas.openxmlformats.org/drawingml/2006/main">
                  <a:graphicData uri="http://schemas.microsoft.com/office/word/2010/wordprocessingShape">
                    <wps:wsp>
                      <wps:cNvCnPr/>
                      <wps:spPr>
                        <a:xfrm flipH="1" flipV="1">
                          <a:off x="0" y="0"/>
                          <a:ext cx="9525" cy="466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11" o:spid="_x0000_s1029" type="#_x0000_t32" style="width:0.75pt;height:36.75pt;margin-top:13.05pt;margin-left:235.5pt;flip:x y;mso-wrap-distance-bottom:0;mso-wrap-distance-left:9pt;mso-wrap-distance-right:9pt;mso-wrap-distance-top:0;mso-wrap-style:square;position:absolute;visibility:visible;z-index:251679744" strokecolor="#4472c4" strokeweight="0.5pt">
                <v:stroke joinstyle="miter" endarrow="block"/>
              </v:shap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672576" behindDoc="0" locked="0" layoutInCell="1" allowOverlap="1" wp14:anchorId="51D48D22" wp14:editId="62372F16">
                <wp:simplePos x="0" y="0"/>
                <wp:positionH relativeFrom="column">
                  <wp:posOffset>1790700</wp:posOffset>
                </wp:positionH>
                <wp:positionV relativeFrom="paragraph">
                  <wp:posOffset>194310</wp:posOffset>
                </wp:positionV>
                <wp:extent cx="628650" cy="638175"/>
                <wp:effectExtent l="38100" t="38100" r="19050" b="28575"/>
                <wp:wrapNone/>
                <wp:docPr id="8" name="Straight Arrow Connector 8"/>
                <wp:cNvGraphicFramePr/>
                <a:graphic xmlns:a="http://schemas.openxmlformats.org/drawingml/2006/main">
                  <a:graphicData uri="http://schemas.microsoft.com/office/word/2010/wordprocessingShape">
                    <wps:wsp>
                      <wps:cNvCnPr/>
                      <wps:spPr>
                        <a:xfrm flipH="1" flipV="1">
                          <a:off x="0" y="0"/>
                          <a:ext cx="628650" cy="638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8" o:spid="_x0000_s1030" type="#_x0000_t32" style="width:49.5pt;height:50.25pt;margin-top:15.3pt;margin-left:141pt;flip:x y;mso-wrap-distance-bottom:0;mso-wrap-distance-left:9pt;mso-wrap-distance-right:9pt;mso-wrap-distance-top:0;mso-wrap-style:square;position:absolute;visibility:visible;z-index:251673600" strokecolor="#4472c4" strokeweight="0.5pt">
                <v:stroke joinstyle="miter" endarrow="block"/>
              </v:shap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670528" behindDoc="0" locked="0" layoutInCell="1" allowOverlap="1" wp14:anchorId="7A1641BF" wp14:editId="42E525A9">
                <wp:simplePos x="0" y="0"/>
                <wp:positionH relativeFrom="column">
                  <wp:posOffset>1781175</wp:posOffset>
                </wp:positionH>
                <wp:positionV relativeFrom="paragraph">
                  <wp:posOffset>203835</wp:posOffset>
                </wp:positionV>
                <wp:extent cx="9525" cy="28575"/>
                <wp:effectExtent l="76200" t="57150" r="66675" b="47625"/>
                <wp:wrapNone/>
                <wp:docPr id="7" name="Straight Arrow Connector 7"/>
                <wp:cNvGraphicFramePr/>
                <a:graphic xmlns:a="http://schemas.openxmlformats.org/drawingml/2006/main">
                  <a:graphicData uri="http://schemas.microsoft.com/office/word/2010/wordprocessingShape">
                    <wps:wsp>
                      <wps:cNvCnPr/>
                      <wps:spPr>
                        <a:xfrm>
                          <a:off x="0" y="0"/>
                          <a:ext cx="9525" cy="28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7" o:spid="_x0000_s1031" type="#_x0000_t32" style="width:0.75pt;height:2.25pt;margin-top:16.05pt;margin-left:140.25pt;mso-wrap-distance-bottom:0;mso-wrap-distance-left:9pt;mso-wrap-distance-right:9pt;mso-wrap-distance-top:0;mso-wrap-style:square;position:absolute;visibility:visible;z-index:251671552" strokecolor="#4472c4" strokeweight="0.5pt">
                <v:stroke joinstyle="miter" endarrow="block"/>
              </v:shap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660288" behindDoc="0" locked="0" layoutInCell="1" allowOverlap="1" wp14:anchorId="6BE2A62C" wp14:editId="710DE7C2">
                <wp:simplePos x="0" y="0"/>
                <wp:positionH relativeFrom="margin">
                  <wp:posOffset>4362450</wp:posOffset>
                </wp:positionH>
                <wp:positionV relativeFrom="paragraph">
                  <wp:posOffset>384810</wp:posOffset>
                </wp:positionV>
                <wp:extent cx="2247900" cy="1200150"/>
                <wp:effectExtent l="0" t="0" r="19050" b="19050"/>
                <wp:wrapNone/>
                <wp:docPr id="2" name="Rectangle: Rounded Corners 2"/>
                <wp:cNvGraphicFramePr/>
                <a:graphic xmlns:a="http://schemas.openxmlformats.org/drawingml/2006/main">
                  <a:graphicData uri="http://schemas.microsoft.com/office/word/2010/wordprocessingShape">
                    <wps:wsp>
                      <wps:cNvSpPr/>
                      <wps:spPr>
                        <a:xfrm>
                          <a:off x="0" y="0"/>
                          <a:ext cx="2247900" cy="12001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ectangle: Rounded Corners 2" o:spid="_x0000_s1032" style="width:177pt;height:94.5pt;margin-top:30.3pt;margin-left:343.5pt;mso-height-percent:0;mso-height-relative:margin;mso-position-horizontal-relative:margin;mso-wrap-distance-bottom:0;mso-wrap-distance-left:9pt;mso-wrap-distance-right:9pt;mso-wrap-distance-top:0;mso-wrap-style:square;position:absolute;visibility:visible;v-text-anchor:middle;z-index:251661312" arcsize="10923f" fillcolor="#4472c4" strokecolor="#1f3763" strokeweight="1pt">
                <v:stroke joinstyle="miter"/>
                <w10:wrap anchorx="margin"/>
              </v:roundrect>
            </w:pict>
          </mc:Fallback>
        </mc:AlternateContent>
      </w:r>
    </w:p>
    <w:p w:rsidR="003312CD" w:rsidRDefault="00D9723F" w:rsidP="007F6464">
      <w:pPr>
        <w:spacing w:line="480" w:lineRule="auto"/>
        <w:jc w:val="center"/>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93056" behindDoc="0" locked="0" layoutInCell="1" allowOverlap="1" wp14:anchorId="3D80EE65" wp14:editId="16466858">
                <wp:simplePos x="0" y="0"/>
                <wp:positionH relativeFrom="column">
                  <wp:posOffset>2590799</wp:posOffset>
                </wp:positionH>
                <wp:positionV relativeFrom="paragraph">
                  <wp:posOffset>380366</wp:posOffset>
                </wp:positionV>
                <wp:extent cx="885825" cy="228600"/>
                <wp:effectExtent l="0" t="0" r="28575" b="19050"/>
                <wp:wrapNone/>
                <wp:docPr id="18" name="Text Box 18"/>
                <wp:cNvGraphicFramePr/>
                <a:graphic xmlns:a="http://schemas.openxmlformats.org/drawingml/2006/main">
                  <a:graphicData uri="http://schemas.microsoft.com/office/word/2010/wordprocessingShape">
                    <wps:wsp>
                      <wps:cNvSpPr txBox="1"/>
                      <wps:spPr>
                        <a:xfrm>
                          <a:off x="0" y="0"/>
                          <a:ext cx="885825" cy="228600"/>
                        </a:xfrm>
                        <a:prstGeom prst="rect">
                          <a:avLst/>
                        </a:prstGeom>
                        <a:solidFill>
                          <a:schemeClr val="lt1"/>
                        </a:solidFill>
                        <a:ln w="6350">
                          <a:solidFill>
                            <a:prstClr val="black"/>
                          </a:solidFill>
                        </a:ln>
                      </wps:spPr>
                      <wps:txbx>
                        <w:txbxContent>
                          <w:p w:rsidR="007F15A7" w:rsidRPr="007F15A7" w:rsidRDefault="00D9723F">
                            <w:pPr>
                              <w:rPr>
                                <w:b/>
                              </w:rPr>
                            </w:pPr>
                            <w:r w:rsidRPr="007F15A7">
                              <w:rPr>
                                <w:b/>
                              </w:rPr>
                              <w:t>5 Forces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8" o:spid="_x0000_s1033" type="#_x0000_t202" style="width:69.75pt;height:18pt;margin-top:29.95pt;margin-left:204pt;mso-height-percent:0;mso-height-relative:margin;mso-width-percent:0;mso-width-relative:margin;mso-wrap-distance-bottom:0;mso-wrap-distance-left:9pt;mso-wrap-distance-right:9pt;mso-wrap-distance-top:0;mso-wrap-style:square;position:absolute;visibility:visible;v-text-anchor:top;z-index:251694080" fillcolor="white" strokeweight="0.5pt">
                <v:textbox>
                  <w:txbxContent>
                    <w:p w:rsidR="007F15A7" w:rsidRPr="007F15A7" w14:paraId="58325C41" w14:textId="6300D51D">
                      <w:pPr>
                        <w:rPr>
                          <w:b/>
                        </w:rPr>
                      </w:pPr>
                      <w:r w:rsidRPr="007F15A7">
                        <w:rPr>
                          <w:b/>
                        </w:rPr>
                        <w:t>5 Forces</w:t>
                      </w:r>
                    </w:p>
                  </w:txbxContent>
                </v:textbox>
              </v:shape>
            </w:pict>
          </mc:Fallback>
        </mc:AlternateContent>
      </w:r>
      <w:r w:rsidR="003312CD">
        <w:rPr>
          <w:rFonts w:ascii="Times New Roman" w:hAnsi="Times New Roman" w:cs="Times New Roman"/>
          <w:noProof/>
          <w:sz w:val="24"/>
          <w:szCs w:val="24"/>
          <w:lang w:val="en-GB" w:eastAsia="en-GB"/>
        </w:rPr>
        <mc:AlternateContent>
          <mc:Choice Requires="wps">
            <w:drawing>
              <wp:anchor distT="0" distB="0" distL="114300" distR="114300" simplePos="0" relativeHeight="251688960" behindDoc="0" locked="0" layoutInCell="1" allowOverlap="1" wp14:anchorId="261DAEAB" wp14:editId="5BC2A086">
                <wp:simplePos x="0" y="0"/>
                <wp:positionH relativeFrom="column">
                  <wp:posOffset>4410075</wp:posOffset>
                </wp:positionH>
                <wp:positionV relativeFrom="paragraph">
                  <wp:posOffset>8890</wp:posOffset>
                </wp:positionV>
                <wp:extent cx="2181225" cy="1085850"/>
                <wp:effectExtent l="0" t="0" r="28575" b="19050"/>
                <wp:wrapNone/>
                <wp:docPr id="16" name="Text Box 16"/>
                <wp:cNvGraphicFramePr/>
                <a:graphic xmlns:a="http://schemas.openxmlformats.org/drawingml/2006/main">
                  <a:graphicData uri="http://schemas.microsoft.com/office/word/2010/wordprocessingShape">
                    <wps:wsp>
                      <wps:cNvSpPr txBox="1"/>
                      <wps:spPr>
                        <a:xfrm>
                          <a:off x="0" y="0"/>
                          <a:ext cx="2181225" cy="1085850"/>
                        </a:xfrm>
                        <a:prstGeom prst="rect">
                          <a:avLst/>
                        </a:prstGeom>
                        <a:solidFill>
                          <a:schemeClr val="lt1"/>
                        </a:solidFill>
                        <a:ln w="6350">
                          <a:solidFill>
                            <a:prstClr val="black"/>
                          </a:solidFill>
                        </a:ln>
                      </wps:spPr>
                      <wps:txbx>
                        <w:txbxContent>
                          <w:p w:rsidR="003312CD" w:rsidRDefault="00D9723F">
                            <w:pPr>
                              <w:rPr>
                                <w:b/>
                              </w:rPr>
                            </w:pPr>
                            <w:r>
                              <w:rPr>
                                <w:b/>
                              </w:rPr>
                              <w:t>Threat of Substitutes</w:t>
                            </w:r>
                          </w:p>
                          <w:p w:rsidR="003312CD" w:rsidRPr="003312CD" w:rsidRDefault="00D9723F">
                            <w:r w:rsidRPr="003312CD">
                              <w:t>-Motor Vehicle insurance</w:t>
                            </w:r>
                          </w:p>
                          <w:p w:rsidR="003312CD" w:rsidRDefault="00D9723F">
                            <w:r>
                              <w:rPr>
                                <w:b/>
                              </w:rPr>
                              <w:t>-</w:t>
                            </w:r>
                            <w:r w:rsidRPr="003312CD">
                              <w:t>Workers Compensation</w:t>
                            </w:r>
                            <w:r>
                              <w:t xml:space="preserve"> insurance</w:t>
                            </w:r>
                          </w:p>
                          <w:p w:rsidR="003312CD" w:rsidRPr="003312CD" w:rsidRDefault="00D9723F">
                            <w:pPr>
                              <w:rPr>
                                <w:b/>
                              </w:rPr>
                            </w:pPr>
                            <w:r>
                              <w:rPr>
                                <w:b/>
                              </w:rPr>
                              <w:t>-</w:t>
                            </w:r>
                            <w:r w:rsidRPr="003312CD">
                              <w:t>Unemployment insurance</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6" o:spid="_x0000_s1034" type="#_x0000_t202" style="width:171.75pt;height:85.5pt;margin-top:0.7pt;margin-left:347.25pt;mso-height-percent:0;mso-height-relative:margin;mso-width-percent:0;mso-width-relative:margin;mso-wrap-distance-bottom:0;mso-wrap-distance-left:9pt;mso-wrap-distance-right:9pt;mso-wrap-distance-top:0;mso-wrap-style:square;position:absolute;visibility:visible;v-text-anchor:top;z-index:251689984" fillcolor="white" strokeweight="0.5pt">
                <v:textbox>
                  <w:txbxContent>
                    <w:p w:rsidR="003312CD" w14:paraId="600BA401" w14:textId="3203D2F6">
                      <w:pPr>
                        <w:rPr>
                          <w:b/>
                        </w:rPr>
                      </w:pPr>
                      <w:r>
                        <w:rPr>
                          <w:b/>
                        </w:rPr>
                        <w:t>Threat of Substitutes</w:t>
                      </w:r>
                    </w:p>
                    <w:p w:rsidR="003312CD" w:rsidRPr="003312CD" w14:paraId="57C0FB83" w14:textId="5988DEA6">
                      <w:r w:rsidRPr="003312CD">
                        <w:t>-Motor Vehicle insurance</w:t>
                      </w:r>
                    </w:p>
                    <w:p w:rsidR="003312CD" w14:paraId="72D26B61" w14:textId="0046FDC7">
                      <w:r>
                        <w:rPr>
                          <w:b/>
                        </w:rPr>
                        <w:t>-</w:t>
                      </w:r>
                      <w:r w:rsidRPr="003312CD">
                        <w:t>Workers Compensation</w:t>
                      </w:r>
                      <w:r>
                        <w:t xml:space="preserve"> insurance</w:t>
                      </w:r>
                    </w:p>
                    <w:p w:rsidR="003312CD" w:rsidRPr="003312CD" w14:paraId="3E8272BE" w14:textId="3CBAA7A0">
                      <w:pPr>
                        <w:rPr>
                          <w:b/>
                        </w:rPr>
                      </w:pPr>
                      <w:r>
                        <w:rPr>
                          <w:b/>
                        </w:rPr>
                        <w:t>-</w:t>
                      </w:r>
                      <w:r w:rsidRPr="003312CD">
                        <w:t>Unemployment insurance</w:t>
                      </w:r>
                    </w:p>
                  </w:txbxContent>
                </v:textbox>
              </v:shap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666432" behindDoc="0" locked="0" layoutInCell="1" allowOverlap="1" wp14:anchorId="54951CAE" wp14:editId="777A1D8B">
                <wp:simplePos x="0" y="0"/>
                <wp:positionH relativeFrom="margin">
                  <wp:align>center</wp:align>
                </wp:positionH>
                <wp:positionV relativeFrom="paragraph">
                  <wp:posOffset>180340</wp:posOffset>
                </wp:positionV>
                <wp:extent cx="1228725" cy="752475"/>
                <wp:effectExtent l="0" t="0" r="28575" b="28575"/>
                <wp:wrapNone/>
                <wp:docPr id="5" name="Oval 5"/>
                <wp:cNvGraphicFramePr/>
                <a:graphic xmlns:a="http://schemas.openxmlformats.org/drawingml/2006/main">
                  <a:graphicData uri="http://schemas.microsoft.com/office/word/2010/wordprocessingShape">
                    <wps:wsp>
                      <wps:cNvSpPr/>
                      <wps:spPr>
                        <a:xfrm>
                          <a:off x="0" y="0"/>
                          <a:ext cx="1228725" cy="75247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id="Oval 5" o:spid="_x0000_s1035" style="width:96.75pt;height:59.25pt;margin-top:14.2pt;margin-left:0;mso-position-horizontal:center;mso-position-horizontal-relative:margin;mso-wrap-distance-bottom:0;mso-wrap-distance-left:9pt;mso-wrap-distance-right:9pt;mso-wrap-distance-top:0;mso-wrap-style:square;position:absolute;visibility:visible;v-text-anchor:middle;z-index:251667456" fillcolor="#4472c4" strokecolor="#1f3763" strokeweight="1pt">
                <v:stroke joinstyle="miter"/>
                <w10:wrap anchorx="margin"/>
              </v:oval>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662336" behindDoc="0" locked="0" layoutInCell="1" allowOverlap="1" wp14:anchorId="22CC51A3" wp14:editId="1364A2AC">
                <wp:simplePos x="0" y="0"/>
                <wp:positionH relativeFrom="margin">
                  <wp:posOffset>-333375</wp:posOffset>
                </wp:positionH>
                <wp:positionV relativeFrom="paragraph">
                  <wp:posOffset>518160</wp:posOffset>
                </wp:positionV>
                <wp:extent cx="2247900" cy="1209675"/>
                <wp:effectExtent l="0" t="0" r="19050" b="28575"/>
                <wp:wrapNone/>
                <wp:docPr id="3" name="Rectangle: Rounded Corners 3"/>
                <wp:cNvGraphicFramePr/>
                <a:graphic xmlns:a="http://schemas.openxmlformats.org/drawingml/2006/main">
                  <a:graphicData uri="http://schemas.microsoft.com/office/word/2010/wordprocessingShape">
                    <wps:wsp>
                      <wps:cNvSpPr/>
                      <wps:spPr>
                        <a:xfrm>
                          <a:off x="0" y="0"/>
                          <a:ext cx="2247900" cy="12096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ectangle: Rounded Corners 3" o:spid="_x0000_s1036" style="width:177pt;height:95.25pt;margin-top:40.8pt;margin-left:-26.25pt;mso-height-percent:0;mso-height-relative:margin;mso-position-horizontal-relative:margin;mso-wrap-distance-bottom:0;mso-wrap-distance-left:9pt;mso-wrap-distance-right:9pt;mso-wrap-distance-top:0;mso-wrap-style:square;position:absolute;visibility:visible;v-text-anchor:middle;z-index:251663360" arcsize="10923f" fillcolor="#4472c4" strokecolor="#1f3763" strokeweight="1pt">
                <v:stroke joinstyle="miter"/>
                <w10:wrap anchorx="margin"/>
              </v:roundrect>
            </w:pict>
          </mc:Fallback>
        </mc:AlternateContent>
      </w:r>
    </w:p>
    <w:p w:rsidR="003312CD" w:rsidRDefault="00D9723F" w:rsidP="007F6464">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86912" behindDoc="0" locked="0" layoutInCell="1" allowOverlap="1" wp14:anchorId="16C16CC4" wp14:editId="15764B3C">
                <wp:simplePos x="0" y="0"/>
                <wp:positionH relativeFrom="column">
                  <wp:posOffset>-257175</wp:posOffset>
                </wp:positionH>
                <wp:positionV relativeFrom="paragraph">
                  <wp:posOffset>99695</wp:posOffset>
                </wp:positionV>
                <wp:extent cx="2143125" cy="1143000"/>
                <wp:effectExtent l="0" t="0" r="28575" b="19050"/>
                <wp:wrapNone/>
                <wp:docPr id="15" name="Text Box 15"/>
                <wp:cNvGraphicFramePr/>
                <a:graphic xmlns:a="http://schemas.openxmlformats.org/drawingml/2006/main">
                  <a:graphicData uri="http://schemas.microsoft.com/office/word/2010/wordprocessingShape">
                    <wps:wsp>
                      <wps:cNvSpPr txBox="1"/>
                      <wps:spPr>
                        <a:xfrm>
                          <a:off x="0" y="0"/>
                          <a:ext cx="2143125" cy="1143000"/>
                        </a:xfrm>
                        <a:prstGeom prst="rect">
                          <a:avLst/>
                        </a:prstGeom>
                        <a:solidFill>
                          <a:schemeClr val="lt1"/>
                        </a:solidFill>
                        <a:ln w="6350">
                          <a:solidFill>
                            <a:prstClr val="black"/>
                          </a:solidFill>
                        </a:ln>
                      </wps:spPr>
                      <wps:txbx>
                        <w:txbxContent>
                          <w:p w:rsidR="003312CD" w:rsidRDefault="00D9723F">
                            <w:pPr>
                              <w:rPr>
                                <w:b/>
                              </w:rPr>
                            </w:pPr>
                            <w:r>
                              <w:rPr>
                                <w:b/>
                              </w:rPr>
                              <w:t>Bargaining power (suppliers)</w:t>
                            </w:r>
                          </w:p>
                          <w:p w:rsidR="003312CD" w:rsidRPr="003312CD" w:rsidRDefault="00D9723F" w:rsidP="003312CD">
                            <w:r>
                              <w:t>-AIG has no supplier with high bargaining power</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5" o:spid="_x0000_s1037" type="#_x0000_t202" style="width:168.75pt;height:90pt;margin-top:7.85pt;margin-left:-20.25pt;mso-height-percent:0;mso-height-relative:margin;mso-wrap-distance-bottom:0;mso-wrap-distance-left:9pt;mso-wrap-distance-right:9pt;mso-wrap-distance-top:0;mso-wrap-style:square;position:absolute;visibility:visible;v-text-anchor:top;z-index:251687936" fillcolor="white" strokeweight="0.5pt">
                <v:textbox>
                  <w:txbxContent>
                    <w:p w:rsidR="003312CD" w14:paraId="19060DF0" w14:textId="362ACC6A">
                      <w:pPr>
                        <w:rPr>
                          <w:b/>
                        </w:rPr>
                      </w:pPr>
                      <w:r>
                        <w:rPr>
                          <w:b/>
                        </w:rPr>
                        <w:t>Bargaining power (suppliers)</w:t>
                      </w:r>
                    </w:p>
                    <w:p w:rsidR="003312CD" w:rsidRPr="003312CD" w:rsidP="003312CD" w14:paraId="22F0CE4F" w14:textId="3DEC6B11">
                      <w:r>
                        <w:t>-AIG has no supplier with high bargaining power</w:t>
                      </w:r>
                    </w:p>
                  </w:txbxContent>
                </v:textbox>
              </v:shap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680768" behindDoc="0" locked="0" layoutInCell="1" allowOverlap="1" wp14:anchorId="763100D4" wp14:editId="50F9C285">
                <wp:simplePos x="0" y="0"/>
                <wp:positionH relativeFrom="column">
                  <wp:posOffset>3590925</wp:posOffset>
                </wp:positionH>
                <wp:positionV relativeFrom="paragraph">
                  <wp:posOffset>80645</wp:posOffset>
                </wp:positionV>
                <wp:extent cx="781050" cy="19050"/>
                <wp:effectExtent l="0" t="76200" r="19050" b="76200"/>
                <wp:wrapNone/>
                <wp:docPr id="12" name="Straight Arrow Connector 12"/>
                <wp:cNvGraphicFramePr/>
                <a:graphic xmlns:a="http://schemas.openxmlformats.org/drawingml/2006/main">
                  <a:graphicData uri="http://schemas.microsoft.com/office/word/2010/wordprocessingShape">
                    <wps:wsp>
                      <wps:cNvCnPr/>
                      <wps:spPr>
                        <a:xfrm flipV="1">
                          <a:off x="0" y="0"/>
                          <a:ext cx="781050" cy="19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2" o:spid="_x0000_s1038" type="#_x0000_t32" style="width:61.5pt;height:1.5pt;margin-top:6.35pt;margin-left:282.75pt;flip:y;mso-wrap-distance-bottom:0;mso-wrap-distance-left:9pt;mso-wrap-distance-right:9pt;mso-wrap-distance-top:0;mso-wrap-style:square;position:absolute;visibility:visible;z-index:251681792" strokecolor="#4472c4" strokeweight="0.5pt">
                <v:stroke joinstyle="miter" endarrow="block"/>
              </v:shape>
            </w:pict>
          </mc:Fallback>
        </mc:AlternateContent>
      </w:r>
      <w:r>
        <w:rPr>
          <w:rFonts w:ascii="Times New Roman" w:hAnsi="Times New Roman" w:cs="Times New Roman"/>
          <w:noProof/>
          <w:sz w:val="24"/>
          <w:szCs w:val="24"/>
          <w:lang w:val="en-GB" w:eastAsia="en-GB"/>
        </w:rPr>
        <mc:AlternateContent>
          <mc:Choice Requires="wps">
            <w:drawing>
              <wp:anchor distT="0" distB="0" distL="114300" distR="114300" simplePos="0" relativeHeight="251674624" behindDoc="0" locked="0" layoutInCell="1" allowOverlap="1" wp14:anchorId="18A84BC0" wp14:editId="0B6EB9A7">
                <wp:simplePos x="0" y="0"/>
                <wp:positionH relativeFrom="column">
                  <wp:posOffset>1914525</wp:posOffset>
                </wp:positionH>
                <wp:positionV relativeFrom="paragraph">
                  <wp:posOffset>166370</wp:posOffset>
                </wp:positionV>
                <wp:extent cx="428625" cy="495300"/>
                <wp:effectExtent l="38100" t="0" r="28575" b="57150"/>
                <wp:wrapNone/>
                <wp:docPr id="9" name="Straight Arrow Connector 9"/>
                <wp:cNvGraphicFramePr/>
                <a:graphic xmlns:a="http://schemas.openxmlformats.org/drawingml/2006/main">
                  <a:graphicData uri="http://schemas.microsoft.com/office/word/2010/wordprocessingShape">
                    <wps:wsp>
                      <wps:cNvCnPr/>
                      <wps:spPr>
                        <a:xfrm flipH="1">
                          <a:off x="0" y="0"/>
                          <a:ext cx="428625" cy="4953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9" o:spid="_x0000_s1039" type="#_x0000_t32" style="width:33.75pt;height:39pt;margin-top:13.1pt;margin-left:150.75pt;flip:x;mso-wrap-distance-bottom:0;mso-wrap-distance-left:9pt;mso-wrap-distance-right:9pt;mso-wrap-distance-top:0;mso-wrap-style:square;position:absolute;visibility:visible;z-index:251675648" strokecolor="#4472c4" strokeweight="0.5pt">
                <v:stroke joinstyle="miter" endarrow="block"/>
              </v:shape>
            </w:pict>
          </mc:Fallback>
        </mc:AlternateContent>
      </w:r>
    </w:p>
    <w:p w:rsidR="003312CD" w:rsidRDefault="00D9723F" w:rsidP="007F6464">
      <w:pPr>
        <w:spacing w:line="480" w:lineRule="auto"/>
        <w:rPr>
          <w:rFonts w:ascii="Times New Roman" w:hAnsi="Times New Roman" w:cs="Times New Roman"/>
          <w:sz w:val="24"/>
          <w:szCs w:val="24"/>
        </w:rPr>
      </w:pPr>
      <w:r>
        <w:rPr>
          <w:rFonts w:ascii="Times New Roman" w:hAnsi="Times New Roman" w:cs="Times New Roman"/>
          <w:noProof/>
          <w:sz w:val="24"/>
          <w:szCs w:val="24"/>
          <w:lang w:val="en-GB" w:eastAsia="en-GB"/>
        </w:rPr>
        <mc:AlternateContent>
          <mc:Choice Requires="wps">
            <w:drawing>
              <wp:anchor distT="0" distB="0" distL="114300" distR="114300" simplePos="0" relativeHeight="251691008" behindDoc="0" locked="0" layoutInCell="1" allowOverlap="1" wp14:anchorId="31D4F849" wp14:editId="5245E056">
                <wp:simplePos x="0" y="0"/>
                <wp:positionH relativeFrom="column">
                  <wp:posOffset>2266950</wp:posOffset>
                </wp:positionH>
                <wp:positionV relativeFrom="paragraph">
                  <wp:posOffset>409575</wp:posOffset>
                </wp:positionV>
                <wp:extent cx="2095500" cy="1209675"/>
                <wp:effectExtent l="0" t="0" r="19050" b="28575"/>
                <wp:wrapNone/>
                <wp:docPr id="17" name="Text Box 17"/>
                <wp:cNvGraphicFramePr/>
                <a:graphic xmlns:a="http://schemas.openxmlformats.org/drawingml/2006/main">
                  <a:graphicData uri="http://schemas.microsoft.com/office/word/2010/wordprocessingShape">
                    <wps:wsp>
                      <wps:cNvSpPr txBox="1"/>
                      <wps:spPr>
                        <a:xfrm>
                          <a:off x="0" y="0"/>
                          <a:ext cx="2095500" cy="1209675"/>
                        </a:xfrm>
                        <a:prstGeom prst="rect">
                          <a:avLst/>
                        </a:prstGeom>
                        <a:solidFill>
                          <a:schemeClr val="lt1"/>
                        </a:solidFill>
                        <a:ln w="6350">
                          <a:solidFill>
                            <a:prstClr val="black"/>
                          </a:solidFill>
                        </a:ln>
                      </wps:spPr>
                      <wps:txbx>
                        <w:txbxContent>
                          <w:p w:rsidR="007F15A7" w:rsidRDefault="00D9723F">
                            <w:pPr>
                              <w:rPr>
                                <w:b/>
                              </w:rPr>
                            </w:pPr>
                            <w:r>
                              <w:rPr>
                                <w:b/>
                              </w:rPr>
                              <w:t>Rivalry</w:t>
                            </w:r>
                          </w:p>
                          <w:p w:rsidR="007F15A7" w:rsidRDefault="00D9723F">
                            <w:r>
                              <w:t>-Insurance is a commodity</w:t>
                            </w:r>
                          </w:p>
                          <w:p w:rsidR="007F15A7" w:rsidRPr="007F15A7" w:rsidRDefault="00D9723F">
                            <w:r>
                              <w:t>-buyers compare services quality and prices</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17" o:spid="_x0000_s1040" type="#_x0000_t202" style="width:165pt;height:95.25pt;margin-top:32.25pt;margin-left:178.5pt;mso-width-percent:0;mso-width-relative:margin;mso-wrap-distance-bottom:0;mso-wrap-distance-left:9pt;mso-wrap-distance-right:9pt;mso-wrap-distance-top:0;mso-wrap-style:square;position:absolute;visibility:visible;v-text-anchor:top;z-index:251692032" fillcolor="white" strokeweight="0.5pt">
                <v:textbox>
                  <w:txbxContent>
                    <w:p w:rsidR="007F15A7" w14:paraId="0880B961" w14:textId="5F4CD3F5">
                      <w:pPr>
                        <w:rPr>
                          <w:b/>
                        </w:rPr>
                      </w:pPr>
                      <w:r>
                        <w:rPr>
                          <w:b/>
                        </w:rPr>
                        <w:t>Rivalry</w:t>
                      </w:r>
                    </w:p>
                    <w:p w:rsidR="007F15A7" w14:paraId="216C5046" w14:textId="4A2B1D88">
                      <w:r>
                        <w:t>-Insurance is a commodity</w:t>
                      </w:r>
                    </w:p>
                    <w:p w:rsidR="007F15A7" w:rsidRPr="007F15A7" w14:paraId="7318D76D" w14:textId="1FD3F12E">
                      <w:r>
                        <w:t>-buyers compare services quality and prices</w:t>
                      </w:r>
                    </w:p>
                  </w:txbxContent>
                </v:textbox>
              </v:shape>
            </w:pict>
          </mc:Fallback>
        </mc:AlternateContent>
      </w:r>
      <w:r w:rsidR="003312CD">
        <w:rPr>
          <w:rFonts w:ascii="Times New Roman" w:hAnsi="Times New Roman" w:cs="Times New Roman"/>
          <w:noProof/>
          <w:sz w:val="24"/>
          <w:szCs w:val="24"/>
          <w:lang w:val="en-GB" w:eastAsia="en-GB"/>
        </w:rPr>
        <mc:AlternateContent>
          <mc:Choice Requires="wps">
            <w:drawing>
              <wp:anchor distT="0" distB="0" distL="114300" distR="114300" simplePos="0" relativeHeight="251676672" behindDoc="0" locked="0" layoutInCell="1" allowOverlap="1" wp14:anchorId="5DBC1896" wp14:editId="14080810">
                <wp:simplePos x="0" y="0"/>
                <wp:positionH relativeFrom="column">
                  <wp:posOffset>2981325</wp:posOffset>
                </wp:positionH>
                <wp:positionV relativeFrom="paragraph">
                  <wp:posOffset>47625</wp:posOffset>
                </wp:positionV>
                <wp:extent cx="9525" cy="295275"/>
                <wp:effectExtent l="38100" t="0" r="66675" b="47625"/>
                <wp:wrapNone/>
                <wp:docPr id="10" name="Straight Arrow Connector 10"/>
                <wp:cNvGraphicFramePr/>
                <a:graphic xmlns:a="http://schemas.openxmlformats.org/drawingml/2006/main">
                  <a:graphicData uri="http://schemas.microsoft.com/office/word/2010/wordprocessingShape">
                    <wps:wsp>
                      <wps:cNvCnPr/>
                      <wps:spPr>
                        <a:xfrm>
                          <a:off x="0" y="0"/>
                          <a:ext cx="9525" cy="295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Straight Arrow Connector 10" o:spid="_x0000_s1041" type="#_x0000_t32" style="width:0.75pt;height:23.25pt;margin-top:3.75pt;margin-left:234.75pt;mso-wrap-distance-bottom:0;mso-wrap-distance-left:9pt;mso-wrap-distance-right:9pt;mso-wrap-distance-top:0;mso-wrap-style:square;position:absolute;visibility:visible;z-index:251677696" strokecolor="#4472c4" strokeweight="0.5pt">
                <v:stroke joinstyle="miter" endarrow="block"/>
              </v:shape>
            </w:pict>
          </mc:Fallback>
        </mc:AlternateContent>
      </w:r>
      <w:r w:rsidR="003312CD">
        <w:rPr>
          <w:rFonts w:ascii="Times New Roman" w:hAnsi="Times New Roman" w:cs="Times New Roman"/>
          <w:noProof/>
          <w:sz w:val="24"/>
          <w:szCs w:val="24"/>
          <w:lang w:val="en-GB" w:eastAsia="en-GB"/>
        </w:rPr>
        <mc:AlternateContent>
          <mc:Choice Requires="wps">
            <w:drawing>
              <wp:anchor distT="0" distB="0" distL="114300" distR="114300" simplePos="0" relativeHeight="251664384" behindDoc="0" locked="0" layoutInCell="1" allowOverlap="1" wp14:anchorId="132A11ED" wp14:editId="4FFE68D8">
                <wp:simplePos x="0" y="0"/>
                <wp:positionH relativeFrom="column">
                  <wp:posOffset>2209800</wp:posOffset>
                </wp:positionH>
                <wp:positionV relativeFrom="paragraph">
                  <wp:posOffset>333375</wp:posOffset>
                </wp:positionV>
                <wp:extent cx="2181225" cy="1314450"/>
                <wp:effectExtent l="0" t="0" r="28575" b="19050"/>
                <wp:wrapNone/>
                <wp:docPr id="4" name="Rectangle: Rounded Corners 4"/>
                <wp:cNvGraphicFramePr/>
                <a:graphic xmlns:a="http://schemas.openxmlformats.org/drawingml/2006/main">
                  <a:graphicData uri="http://schemas.microsoft.com/office/word/2010/wordprocessingShape">
                    <wps:wsp>
                      <wps:cNvSpPr/>
                      <wps:spPr>
                        <a:xfrm>
                          <a:off x="0" y="0"/>
                          <a:ext cx="2181225" cy="131445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id="Rectangle: Rounded Corners 4" o:spid="_x0000_s1042" style="width:171.75pt;height:103.5pt;margin-top:26.25pt;margin-left:174pt;mso-wrap-distance-bottom:0;mso-wrap-distance-left:9pt;mso-wrap-distance-right:9pt;mso-wrap-distance-top:0;mso-wrap-style:square;position:absolute;visibility:visible;v-text-anchor:middle;z-index:251665408" arcsize="10923f" fillcolor="#4472c4" strokecolor="#1f3763" strokeweight="1pt">
                <v:stroke joinstyle="miter"/>
              </v:roundrect>
            </w:pict>
          </mc:Fallback>
        </mc:AlternateContent>
      </w:r>
    </w:p>
    <w:p w:rsidR="003312CD" w:rsidRPr="003312CD" w:rsidRDefault="003312CD" w:rsidP="007F6464">
      <w:pPr>
        <w:spacing w:line="480" w:lineRule="auto"/>
        <w:rPr>
          <w:rFonts w:ascii="Times New Roman" w:hAnsi="Times New Roman" w:cs="Times New Roman"/>
          <w:sz w:val="24"/>
          <w:szCs w:val="24"/>
        </w:rPr>
      </w:pPr>
    </w:p>
    <w:p w:rsidR="007F15A7" w:rsidRPr="007F15A7" w:rsidRDefault="00D9723F" w:rsidP="007F6464">
      <w:pPr>
        <w:spacing w:line="480" w:lineRule="auto"/>
        <w:rPr>
          <w:rFonts w:ascii="Times New Roman" w:hAnsi="Times New Roman" w:cs="Times New Roman"/>
          <w:sz w:val="24"/>
          <w:szCs w:val="24"/>
        </w:rPr>
      </w:pPr>
      <w:r w:rsidRPr="007F15A7">
        <w:rPr>
          <w:rFonts w:ascii="Times New Roman" w:hAnsi="Times New Roman" w:cs="Times New Roman"/>
          <w:sz w:val="24"/>
          <w:szCs w:val="24"/>
        </w:rPr>
        <w:lastRenderedPageBreak/>
        <w:t>The above figure is a summary</w:t>
      </w:r>
      <w:r w:rsidRPr="007F15A7">
        <w:rPr>
          <w:rFonts w:ascii="Times New Roman" w:hAnsi="Times New Roman" w:cs="Times New Roman"/>
          <w:sz w:val="24"/>
          <w:szCs w:val="24"/>
        </w:rPr>
        <w:t xml:space="preserve"> of Porter's forces</w:t>
      </w:r>
      <w:r>
        <w:rPr>
          <w:rFonts w:ascii="Times New Roman" w:hAnsi="Times New Roman" w:cs="Times New Roman"/>
          <w:sz w:val="24"/>
          <w:szCs w:val="24"/>
        </w:rPr>
        <w:t xml:space="preserve"> as applied to the insurance company.  </w:t>
      </w:r>
    </w:p>
    <w:p w:rsidR="00C36520" w:rsidRDefault="00D9723F" w:rsidP="007F6464">
      <w:pPr>
        <w:spacing w:line="480" w:lineRule="auto"/>
        <w:rPr>
          <w:rFonts w:ascii="Times New Roman" w:hAnsi="Times New Roman" w:cs="Times New Roman"/>
          <w:b/>
          <w:sz w:val="24"/>
          <w:szCs w:val="24"/>
        </w:rPr>
      </w:pPr>
      <w:r>
        <w:rPr>
          <w:rFonts w:ascii="Times New Roman" w:hAnsi="Times New Roman" w:cs="Times New Roman"/>
          <w:b/>
          <w:sz w:val="24"/>
          <w:szCs w:val="24"/>
        </w:rPr>
        <w:t>Strategy Used</w:t>
      </w:r>
    </w:p>
    <w:p w:rsidR="00AE0AF4" w:rsidRDefault="00D9723F" w:rsidP="007F64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AIG creates and sustain a competitive advantage by focusing on the problems and questions that are of more importance</w:t>
      </w:r>
      <w:r w:rsidR="003B4B82">
        <w:rPr>
          <w:rFonts w:ascii="Times New Roman" w:hAnsi="Times New Roman" w:cs="Times New Roman"/>
          <w:sz w:val="24"/>
          <w:szCs w:val="24"/>
        </w:rPr>
        <w:t xml:space="preserve"> (Porter, 2007)</w:t>
      </w:r>
      <w:r>
        <w:rPr>
          <w:rFonts w:ascii="Times New Roman" w:hAnsi="Times New Roman" w:cs="Times New Roman"/>
          <w:sz w:val="24"/>
          <w:szCs w:val="24"/>
        </w:rPr>
        <w:t>, working hand in hand with early adopters (agents</w:t>
      </w:r>
      <w:r>
        <w:rPr>
          <w:rFonts w:ascii="Times New Roman" w:hAnsi="Times New Roman" w:cs="Times New Roman"/>
          <w:sz w:val="24"/>
          <w:szCs w:val="24"/>
        </w:rPr>
        <w:t xml:space="preserve"> and brokers) which aids in demonstrating noteworthy wins, and rapid-cycle approach that is iterative and adaptive</w:t>
      </w:r>
      <w:r w:rsidR="00074710">
        <w:rPr>
          <w:rFonts w:ascii="Times New Roman" w:hAnsi="Times New Roman" w:cs="Times New Roman"/>
          <w:sz w:val="24"/>
          <w:szCs w:val="24"/>
        </w:rPr>
        <w:t>-</w:t>
      </w:r>
      <w:r>
        <w:rPr>
          <w:rFonts w:ascii="Times New Roman" w:hAnsi="Times New Roman" w:cs="Times New Roman"/>
          <w:sz w:val="24"/>
          <w:szCs w:val="24"/>
        </w:rPr>
        <w:t xml:space="preserve"> aids in preventing fraudulent claims</w:t>
      </w:r>
      <w:r w:rsidR="00074710">
        <w:rPr>
          <w:rFonts w:ascii="Times New Roman" w:hAnsi="Times New Roman" w:cs="Times New Roman"/>
          <w:sz w:val="24"/>
          <w:szCs w:val="24"/>
        </w:rPr>
        <w:t xml:space="preserve"> (Dess, et al, 2016)</w:t>
      </w:r>
      <w:r>
        <w:rPr>
          <w:rFonts w:ascii="Times New Roman" w:hAnsi="Times New Roman" w:cs="Times New Roman"/>
          <w:sz w:val="24"/>
          <w:szCs w:val="24"/>
        </w:rPr>
        <w:t>. The company revoked the bonuses it had promised it’s hardworking employees. Howeve</w:t>
      </w:r>
      <w:r>
        <w:rPr>
          <w:rFonts w:ascii="Times New Roman" w:hAnsi="Times New Roman" w:cs="Times New Roman"/>
          <w:sz w:val="24"/>
          <w:szCs w:val="24"/>
        </w:rPr>
        <w:t>r, AIG’s smaller retail components provided support for the falling giant. Nevertheless, the strategy used by the company was not effective because it led to employee dissatisfaction and resignation. Many people had refused deals from competitors just to w</w:t>
      </w:r>
      <w:r>
        <w:rPr>
          <w:rFonts w:ascii="Times New Roman" w:hAnsi="Times New Roman" w:cs="Times New Roman"/>
          <w:sz w:val="24"/>
          <w:szCs w:val="24"/>
        </w:rPr>
        <w:t xml:space="preserve">ork for AIG and after they were misled, they felt betrayed. Additionally, the image of the company in the public was distorted. In this regard, it’s not a good tactic. </w:t>
      </w:r>
    </w:p>
    <w:p w:rsidR="005F0008" w:rsidRDefault="00D9723F" w:rsidP="007F6464">
      <w:pPr>
        <w:spacing w:line="480" w:lineRule="auto"/>
        <w:rPr>
          <w:rFonts w:ascii="Times New Roman" w:hAnsi="Times New Roman" w:cs="Times New Roman"/>
          <w:b/>
          <w:sz w:val="24"/>
          <w:szCs w:val="24"/>
        </w:rPr>
      </w:pPr>
      <w:r w:rsidRPr="005F0008">
        <w:rPr>
          <w:rFonts w:ascii="Times New Roman" w:hAnsi="Times New Roman" w:cs="Times New Roman"/>
          <w:b/>
          <w:sz w:val="24"/>
          <w:szCs w:val="24"/>
        </w:rPr>
        <w:t>Specific Strategy(s)</w:t>
      </w:r>
    </w:p>
    <w:p w:rsidR="005F0008" w:rsidRDefault="00D9723F" w:rsidP="007F6464">
      <w:pPr>
        <w:spacing w:line="480" w:lineRule="auto"/>
        <w:rPr>
          <w:rFonts w:ascii="Times New Roman" w:hAnsi="Times New Roman" w:cs="Times New Roman"/>
          <w:sz w:val="24"/>
          <w:szCs w:val="24"/>
        </w:rPr>
      </w:pPr>
      <w:r>
        <w:rPr>
          <w:rFonts w:ascii="Times New Roman" w:hAnsi="Times New Roman" w:cs="Times New Roman"/>
          <w:b/>
          <w:sz w:val="24"/>
          <w:szCs w:val="24"/>
        </w:rPr>
        <w:t xml:space="preserve">           </w:t>
      </w:r>
      <w:r w:rsidRPr="005F0008">
        <w:rPr>
          <w:rFonts w:ascii="Times New Roman" w:hAnsi="Times New Roman" w:cs="Times New Roman"/>
          <w:b/>
          <w:sz w:val="24"/>
          <w:szCs w:val="24"/>
        </w:rPr>
        <w:t>Related Diversification</w:t>
      </w:r>
      <w:r>
        <w:rPr>
          <w:rFonts w:ascii="Times New Roman" w:hAnsi="Times New Roman" w:cs="Times New Roman"/>
          <w:b/>
          <w:sz w:val="24"/>
          <w:szCs w:val="24"/>
        </w:rPr>
        <w:t xml:space="preserve">. </w:t>
      </w:r>
      <w:r w:rsidRPr="005F0008">
        <w:rPr>
          <w:rFonts w:ascii="Times New Roman" w:hAnsi="Times New Roman" w:cs="Times New Roman"/>
          <w:sz w:val="24"/>
          <w:szCs w:val="24"/>
        </w:rPr>
        <w:t xml:space="preserve">The company is full of people </w:t>
      </w:r>
      <w:r w:rsidRPr="005F0008">
        <w:rPr>
          <w:rFonts w:ascii="Times New Roman" w:hAnsi="Times New Roman" w:cs="Times New Roman"/>
          <w:sz w:val="24"/>
          <w:szCs w:val="24"/>
        </w:rPr>
        <w:t>from different backgrounds. Th</w:t>
      </w:r>
      <w:r>
        <w:rPr>
          <w:rFonts w:ascii="Times New Roman" w:hAnsi="Times New Roman" w:cs="Times New Roman"/>
          <w:sz w:val="24"/>
          <w:szCs w:val="24"/>
        </w:rPr>
        <w:t>e</w:t>
      </w:r>
      <w:r w:rsidRPr="005F0008">
        <w:rPr>
          <w:rFonts w:ascii="Times New Roman" w:hAnsi="Times New Roman" w:cs="Times New Roman"/>
          <w:sz w:val="24"/>
          <w:szCs w:val="24"/>
        </w:rPr>
        <w:t>se employees come with different sets of skills and</w:t>
      </w:r>
      <w:r>
        <w:rPr>
          <w:rFonts w:ascii="Times New Roman" w:hAnsi="Times New Roman" w:cs="Times New Roman"/>
          <w:b/>
          <w:sz w:val="24"/>
          <w:szCs w:val="24"/>
        </w:rPr>
        <w:t xml:space="preserve"> </w:t>
      </w:r>
      <w:r w:rsidRPr="005F0008">
        <w:rPr>
          <w:rFonts w:ascii="Times New Roman" w:hAnsi="Times New Roman" w:cs="Times New Roman"/>
          <w:sz w:val="24"/>
          <w:szCs w:val="24"/>
        </w:rPr>
        <w:t>this kind of inclusive culture brings about diversification</w:t>
      </w:r>
      <w:r w:rsidR="00544BC4">
        <w:rPr>
          <w:rFonts w:ascii="Times New Roman" w:hAnsi="Times New Roman" w:cs="Times New Roman"/>
          <w:sz w:val="24"/>
          <w:szCs w:val="24"/>
        </w:rPr>
        <w:t>. Again, this kind of diversification aids in ensuring the customers from different backgrounds are served well through the development of custom coverage and services (Kanamura, 2018).</w:t>
      </w:r>
    </w:p>
    <w:p w:rsidR="007F6464" w:rsidRDefault="00D9723F" w:rsidP="007F6464">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Pr="0094094C">
        <w:rPr>
          <w:rFonts w:ascii="Times New Roman" w:hAnsi="Times New Roman" w:cs="Times New Roman"/>
          <w:b/>
          <w:sz w:val="24"/>
          <w:szCs w:val="24"/>
        </w:rPr>
        <w:t>Entrepreneurial Str</w:t>
      </w:r>
      <w:r>
        <w:rPr>
          <w:rFonts w:ascii="Times New Roman" w:hAnsi="Times New Roman" w:cs="Times New Roman"/>
          <w:b/>
          <w:sz w:val="24"/>
          <w:szCs w:val="24"/>
        </w:rPr>
        <w:t>a</w:t>
      </w:r>
      <w:r w:rsidRPr="0094094C">
        <w:rPr>
          <w:rFonts w:ascii="Times New Roman" w:hAnsi="Times New Roman" w:cs="Times New Roman"/>
          <w:b/>
          <w:sz w:val="24"/>
          <w:szCs w:val="24"/>
        </w:rPr>
        <w:t>tegy</w:t>
      </w:r>
    </w:p>
    <w:p w:rsidR="0094094C" w:rsidRPr="003B4B82" w:rsidRDefault="00D9723F" w:rsidP="007F6464">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This strategy entails focusing all the ideas and resources on products that have a high return due to their high demands. In other words, it involves finding a niche in the market and focusing on satisfying that need (Dess, et al, 2016). AIG was founded af</w:t>
      </w:r>
      <w:r>
        <w:rPr>
          <w:rFonts w:ascii="Times New Roman" w:hAnsi="Times New Roman" w:cs="Times New Roman"/>
          <w:sz w:val="24"/>
          <w:szCs w:val="24"/>
        </w:rPr>
        <w:t xml:space="preserve">ter a realization that </w:t>
      </w:r>
      <w:r>
        <w:rPr>
          <w:rFonts w:ascii="Times New Roman" w:hAnsi="Times New Roman" w:cs="Times New Roman"/>
          <w:sz w:val="24"/>
          <w:szCs w:val="24"/>
        </w:rPr>
        <w:lastRenderedPageBreak/>
        <w:t>there was a need to offer financial securities to people who have been affected by an economic meltdown. This is a market niche that AIG undertook and in so doing, it has been focusing on providing insurance covers for individuals, b</w:t>
      </w:r>
      <w:r>
        <w:rPr>
          <w:rFonts w:ascii="Times New Roman" w:hAnsi="Times New Roman" w:cs="Times New Roman"/>
          <w:sz w:val="24"/>
          <w:szCs w:val="24"/>
        </w:rPr>
        <w:t>usinesses, organizations and even multi-billion companies.</w:t>
      </w:r>
    </w:p>
    <w:p w:rsidR="00F65420" w:rsidRDefault="00D9723F" w:rsidP="007F6464">
      <w:pPr>
        <w:spacing w:line="480" w:lineRule="auto"/>
        <w:rPr>
          <w:rFonts w:ascii="Times New Roman" w:hAnsi="Times New Roman" w:cs="Times New Roman"/>
          <w:b/>
          <w:sz w:val="24"/>
          <w:szCs w:val="24"/>
        </w:rPr>
      </w:pPr>
      <w:r w:rsidRPr="00F65420">
        <w:rPr>
          <w:rFonts w:ascii="Times New Roman" w:hAnsi="Times New Roman" w:cs="Times New Roman"/>
          <w:b/>
          <w:sz w:val="24"/>
          <w:szCs w:val="24"/>
        </w:rPr>
        <w:t>The course of Recommended Action</w:t>
      </w:r>
    </w:p>
    <w:p w:rsidR="00F65420" w:rsidRDefault="00D9723F" w:rsidP="007F646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AIG is a big company that needs to improve its monitoring of operations and focuses more on internal and external forces. </w:t>
      </w:r>
      <w:r w:rsidR="00637F2B">
        <w:rPr>
          <w:rFonts w:ascii="Times New Roman" w:hAnsi="Times New Roman" w:cs="Times New Roman"/>
          <w:sz w:val="24"/>
          <w:szCs w:val="24"/>
        </w:rPr>
        <w:t>I would also recommend that the company to keep track of the environmental trends which would help n managing the risks. Again, the promised bonuses did not occur and this harmed many employees</w:t>
      </w:r>
      <w:r w:rsidR="00956DDF">
        <w:rPr>
          <w:rFonts w:ascii="Times New Roman" w:hAnsi="Times New Roman" w:cs="Times New Roman"/>
          <w:sz w:val="24"/>
          <w:szCs w:val="24"/>
        </w:rPr>
        <w:t xml:space="preserve"> (Thomas, 2009)</w:t>
      </w:r>
      <w:r w:rsidR="00637F2B">
        <w:rPr>
          <w:rFonts w:ascii="Times New Roman" w:hAnsi="Times New Roman" w:cs="Times New Roman"/>
          <w:sz w:val="24"/>
          <w:szCs w:val="24"/>
        </w:rPr>
        <w:t xml:space="preserve">. I would recommend reconciliation. Amending the broken contracts and high taxes would see the company repair its image. </w:t>
      </w:r>
    </w:p>
    <w:p w:rsidR="00144C3C" w:rsidRDefault="00D9723F" w:rsidP="007F6464">
      <w:pPr>
        <w:spacing w:line="480" w:lineRule="auto"/>
        <w:rPr>
          <w:rFonts w:ascii="Times New Roman" w:hAnsi="Times New Roman" w:cs="Times New Roman"/>
          <w:b/>
          <w:sz w:val="24"/>
          <w:szCs w:val="24"/>
        </w:rPr>
      </w:pPr>
      <w:r w:rsidRPr="00144C3C">
        <w:rPr>
          <w:rFonts w:ascii="Times New Roman" w:hAnsi="Times New Roman" w:cs="Times New Roman"/>
          <w:b/>
          <w:sz w:val="24"/>
          <w:szCs w:val="24"/>
        </w:rPr>
        <w:t>Opinion</w:t>
      </w:r>
    </w:p>
    <w:p w:rsidR="00144C3C" w:rsidRPr="00144C3C" w:rsidRDefault="00D9723F" w:rsidP="007F646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case study is an example of a company that went on with a blind eye in the competitive market, never analyzed the risks, and it ended up disappointing the public and demotivating the employees. We learn that ins</w:t>
      </w:r>
      <w:r>
        <w:rPr>
          <w:rFonts w:ascii="Times New Roman" w:hAnsi="Times New Roman" w:cs="Times New Roman"/>
          <w:sz w:val="24"/>
          <w:szCs w:val="24"/>
        </w:rPr>
        <w:t xml:space="preserve">urance companies need to be ready for uncertainties. AIG was not prepared. Again, even when bailed out by the government, the company used the money in a way that raised chaos in the public. </w:t>
      </w:r>
      <w:r w:rsidR="00C36520">
        <w:rPr>
          <w:rFonts w:ascii="Times New Roman" w:hAnsi="Times New Roman" w:cs="Times New Roman"/>
          <w:sz w:val="24"/>
          <w:szCs w:val="24"/>
        </w:rPr>
        <w:t>No matter the sources of the funds, insurance companies should be able to see into the possibilities of the future and come up with ways to deal with the risks.</w:t>
      </w:r>
    </w:p>
    <w:p w:rsidR="00F65420" w:rsidRPr="00F65420" w:rsidRDefault="00F65420" w:rsidP="007F6464">
      <w:pPr>
        <w:spacing w:line="480" w:lineRule="auto"/>
        <w:rPr>
          <w:rFonts w:ascii="Times New Roman" w:hAnsi="Times New Roman" w:cs="Times New Roman"/>
          <w:sz w:val="24"/>
          <w:szCs w:val="24"/>
        </w:rPr>
      </w:pPr>
    </w:p>
    <w:p w:rsidR="00956DDF" w:rsidRPr="005008AE" w:rsidRDefault="00956DDF" w:rsidP="007F6464">
      <w:pPr>
        <w:spacing w:line="480" w:lineRule="auto"/>
        <w:rPr>
          <w:rFonts w:ascii="Times New Roman" w:hAnsi="Times New Roman" w:cs="Times New Roman"/>
          <w:b/>
          <w:sz w:val="24"/>
          <w:szCs w:val="24"/>
        </w:rPr>
      </w:pPr>
    </w:p>
    <w:p w:rsidR="00271877" w:rsidRDefault="00D9723F" w:rsidP="007F646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074710" w:rsidRDefault="00D9723F" w:rsidP="007F6464">
      <w:pPr>
        <w:spacing w:line="480" w:lineRule="auto"/>
        <w:ind w:left="720" w:hanging="720"/>
        <w:rPr>
          <w:rFonts w:ascii="Times New Roman" w:hAnsi="Times New Roman" w:cs="Times New Roman"/>
          <w:sz w:val="24"/>
          <w:szCs w:val="24"/>
        </w:rPr>
      </w:pPr>
      <w:r w:rsidRPr="00074710">
        <w:rPr>
          <w:rFonts w:ascii="Times New Roman" w:hAnsi="Times New Roman" w:cs="Times New Roman"/>
          <w:sz w:val="24"/>
          <w:szCs w:val="24"/>
        </w:rPr>
        <w:t xml:space="preserve">Dess, G., Lumpkin, G., &amp; Eisner, A. (2016). </w:t>
      </w:r>
      <w:r w:rsidRPr="00074710">
        <w:rPr>
          <w:rFonts w:ascii="Times New Roman" w:hAnsi="Times New Roman" w:cs="Times New Roman"/>
          <w:i/>
          <w:iCs/>
          <w:sz w:val="24"/>
          <w:szCs w:val="24"/>
        </w:rPr>
        <w:t xml:space="preserve">Strategic Management </w:t>
      </w:r>
      <w:r w:rsidRPr="00074710">
        <w:rPr>
          <w:rFonts w:ascii="Times New Roman" w:hAnsi="Times New Roman" w:cs="Times New Roman"/>
          <w:sz w:val="24"/>
          <w:szCs w:val="24"/>
        </w:rPr>
        <w:t>(8e). Boston: McGraw-Hill Irwin.</w:t>
      </w:r>
    </w:p>
    <w:p w:rsidR="00544BC4" w:rsidRDefault="00D9723F" w:rsidP="007F6464">
      <w:pPr>
        <w:spacing w:line="480" w:lineRule="auto"/>
        <w:ind w:left="720" w:hanging="720"/>
        <w:rPr>
          <w:rFonts w:ascii="Times New Roman" w:hAnsi="Times New Roman" w:cs="Times New Roman"/>
          <w:sz w:val="24"/>
          <w:szCs w:val="24"/>
        </w:rPr>
      </w:pPr>
      <w:r w:rsidRPr="00544BC4">
        <w:rPr>
          <w:rFonts w:ascii="Times New Roman" w:hAnsi="Times New Roman" w:cs="Times New Roman"/>
          <w:sz w:val="24"/>
          <w:szCs w:val="24"/>
        </w:rPr>
        <w:t xml:space="preserve">Kanamura, T. (2018). </w:t>
      </w:r>
      <w:r w:rsidRPr="00544BC4">
        <w:rPr>
          <w:rFonts w:ascii="Times New Roman" w:hAnsi="Times New Roman" w:cs="Times New Roman"/>
          <w:i/>
          <w:iCs/>
          <w:sz w:val="24"/>
          <w:szCs w:val="24"/>
        </w:rPr>
        <w:t>Diversification Effect of</w:t>
      </w:r>
      <w:r w:rsidRPr="00544BC4">
        <w:rPr>
          <w:rFonts w:ascii="Times New Roman" w:hAnsi="Times New Roman" w:cs="Times New Roman"/>
          <w:i/>
          <w:iCs/>
          <w:sz w:val="24"/>
          <w:szCs w:val="24"/>
        </w:rPr>
        <w:t xml:space="preserve"> Commodity Futures on Financial Markets</w:t>
      </w:r>
      <w:r w:rsidRPr="00544BC4">
        <w:rPr>
          <w:rFonts w:ascii="Times New Roman" w:hAnsi="Times New Roman" w:cs="Times New Roman"/>
          <w:sz w:val="24"/>
          <w:szCs w:val="24"/>
        </w:rPr>
        <w:t>. Research Institute of Economy, Trade, and Industry (RIETI).</w:t>
      </w:r>
    </w:p>
    <w:p w:rsidR="00271877" w:rsidRDefault="00D9723F" w:rsidP="007F6464">
      <w:pPr>
        <w:spacing w:line="480" w:lineRule="auto"/>
        <w:ind w:left="720" w:hanging="720"/>
        <w:rPr>
          <w:rFonts w:ascii="Times New Roman" w:hAnsi="Times New Roman" w:cs="Times New Roman"/>
          <w:sz w:val="24"/>
          <w:szCs w:val="24"/>
        </w:rPr>
      </w:pPr>
      <w:r w:rsidRPr="00271877">
        <w:rPr>
          <w:rFonts w:ascii="Times New Roman" w:hAnsi="Times New Roman" w:cs="Times New Roman"/>
          <w:sz w:val="24"/>
          <w:szCs w:val="24"/>
        </w:rPr>
        <w:t xml:space="preserve">Porter, M. E. (2008). The five competitive forces that shape strategy. </w:t>
      </w:r>
      <w:r w:rsidRPr="00271877">
        <w:rPr>
          <w:rFonts w:ascii="Times New Roman" w:hAnsi="Times New Roman" w:cs="Times New Roman"/>
          <w:i/>
          <w:iCs/>
          <w:sz w:val="24"/>
          <w:szCs w:val="24"/>
        </w:rPr>
        <w:t>Harvard business review</w:t>
      </w:r>
      <w:r w:rsidRPr="00271877">
        <w:rPr>
          <w:rFonts w:ascii="Times New Roman" w:hAnsi="Times New Roman" w:cs="Times New Roman"/>
          <w:sz w:val="24"/>
          <w:szCs w:val="24"/>
        </w:rPr>
        <w:t xml:space="preserve">, </w:t>
      </w:r>
      <w:r w:rsidRPr="00271877">
        <w:rPr>
          <w:rFonts w:ascii="Times New Roman" w:hAnsi="Times New Roman" w:cs="Times New Roman"/>
          <w:i/>
          <w:iCs/>
          <w:sz w:val="24"/>
          <w:szCs w:val="24"/>
        </w:rPr>
        <w:t>86</w:t>
      </w:r>
      <w:r w:rsidRPr="00271877">
        <w:rPr>
          <w:rFonts w:ascii="Times New Roman" w:hAnsi="Times New Roman" w:cs="Times New Roman"/>
          <w:sz w:val="24"/>
          <w:szCs w:val="24"/>
        </w:rPr>
        <w:t>(1), 25-40.</w:t>
      </w:r>
    </w:p>
    <w:p w:rsidR="003B4B82" w:rsidRDefault="00D9723F" w:rsidP="007F6464">
      <w:pPr>
        <w:spacing w:line="480" w:lineRule="auto"/>
        <w:ind w:left="720" w:hanging="720"/>
        <w:rPr>
          <w:rFonts w:ascii="Times New Roman" w:hAnsi="Times New Roman" w:cs="Times New Roman"/>
          <w:sz w:val="24"/>
          <w:szCs w:val="24"/>
        </w:rPr>
      </w:pPr>
      <w:r w:rsidRPr="003B4B82">
        <w:rPr>
          <w:rFonts w:ascii="Times New Roman" w:hAnsi="Times New Roman" w:cs="Times New Roman"/>
          <w:sz w:val="24"/>
          <w:szCs w:val="24"/>
        </w:rPr>
        <w:t>Porter, M. (2007). Porter's generic strategie</w:t>
      </w:r>
      <w:r w:rsidRPr="003B4B82">
        <w:rPr>
          <w:rFonts w:ascii="Times New Roman" w:hAnsi="Times New Roman" w:cs="Times New Roman"/>
          <w:sz w:val="24"/>
          <w:szCs w:val="24"/>
        </w:rPr>
        <w:t>s</w:t>
      </w:r>
      <w:r>
        <w:rPr>
          <w:rFonts w:ascii="Times New Roman" w:hAnsi="Times New Roman" w:cs="Times New Roman"/>
          <w:sz w:val="24"/>
          <w:szCs w:val="24"/>
        </w:rPr>
        <w:t>.</w:t>
      </w:r>
    </w:p>
    <w:p w:rsidR="00956DDF" w:rsidRPr="00FD39E0" w:rsidRDefault="00D9723F" w:rsidP="007F6464">
      <w:pPr>
        <w:spacing w:line="480" w:lineRule="auto"/>
        <w:ind w:left="720" w:hanging="720"/>
        <w:rPr>
          <w:rFonts w:ascii="Times New Roman" w:hAnsi="Times New Roman" w:cs="Times New Roman"/>
          <w:sz w:val="24"/>
          <w:szCs w:val="24"/>
        </w:rPr>
      </w:pPr>
      <w:r w:rsidRPr="00956DDF">
        <w:rPr>
          <w:rFonts w:ascii="Times New Roman" w:hAnsi="Times New Roman" w:cs="Times New Roman"/>
          <w:sz w:val="24"/>
          <w:szCs w:val="24"/>
        </w:rPr>
        <w:t xml:space="preserve">Thomas, T. A. (2009). Bailouts, Bonuses, and the Return of Unjust Gains. </w:t>
      </w:r>
      <w:r w:rsidRPr="00956DDF">
        <w:rPr>
          <w:rFonts w:ascii="Times New Roman" w:hAnsi="Times New Roman" w:cs="Times New Roman"/>
          <w:i/>
          <w:iCs/>
          <w:sz w:val="24"/>
          <w:szCs w:val="24"/>
        </w:rPr>
        <w:t>Wash. UL Rev.</w:t>
      </w:r>
      <w:r w:rsidRPr="00956DDF">
        <w:rPr>
          <w:rFonts w:ascii="Times New Roman" w:hAnsi="Times New Roman" w:cs="Times New Roman"/>
          <w:sz w:val="24"/>
          <w:szCs w:val="24"/>
        </w:rPr>
        <w:t xml:space="preserve">, </w:t>
      </w:r>
      <w:r w:rsidRPr="00956DDF">
        <w:rPr>
          <w:rFonts w:ascii="Times New Roman" w:hAnsi="Times New Roman" w:cs="Times New Roman"/>
          <w:i/>
          <w:iCs/>
          <w:sz w:val="24"/>
          <w:szCs w:val="24"/>
        </w:rPr>
        <w:t>87</w:t>
      </w:r>
      <w:r w:rsidRPr="00956DDF">
        <w:rPr>
          <w:rFonts w:ascii="Times New Roman" w:hAnsi="Times New Roman" w:cs="Times New Roman"/>
          <w:sz w:val="24"/>
          <w:szCs w:val="24"/>
        </w:rPr>
        <w:t>, 437.</w:t>
      </w:r>
    </w:p>
    <w:p w:rsidR="00FD39E0" w:rsidRDefault="00FD39E0" w:rsidP="007F6464">
      <w:pPr>
        <w:spacing w:line="480" w:lineRule="auto"/>
        <w:rPr>
          <w:rFonts w:ascii="Times New Roman" w:hAnsi="Times New Roman" w:cs="Times New Roman"/>
          <w:sz w:val="24"/>
          <w:szCs w:val="24"/>
        </w:rPr>
      </w:pPr>
    </w:p>
    <w:p w:rsidR="00FD39E0" w:rsidRPr="00FD39E0" w:rsidRDefault="00FD39E0" w:rsidP="007F6464">
      <w:pPr>
        <w:spacing w:line="480" w:lineRule="auto"/>
        <w:rPr>
          <w:rFonts w:ascii="Times New Roman" w:hAnsi="Times New Roman" w:cs="Times New Roman"/>
          <w:sz w:val="24"/>
          <w:szCs w:val="24"/>
        </w:rPr>
      </w:pPr>
    </w:p>
    <w:p w:rsidR="000436B9" w:rsidRPr="000436B9" w:rsidRDefault="000436B9" w:rsidP="007F6464">
      <w:pPr>
        <w:spacing w:line="480" w:lineRule="auto"/>
        <w:rPr>
          <w:rFonts w:ascii="Times New Roman" w:hAnsi="Times New Roman" w:cs="Times New Roman"/>
          <w:sz w:val="24"/>
          <w:szCs w:val="24"/>
        </w:rPr>
      </w:pPr>
    </w:p>
    <w:p w:rsidR="000436B9" w:rsidRPr="000436B9" w:rsidRDefault="000436B9" w:rsidP="007F6464">
      <w:pPr>
        <w:spacing w:line="480" w:lineRule="auto"/>
        <w:rPr>
          <w:rFonts w:ascii="Times New Roman" w:hAnsi="Times New Roman" w:cs="Times New Roman"/>
          <w:sz w:val="24"/>
          <w:szCs w:val="24"/>
        </w:rPr>
      </w:pPr>
    </w:p>
    <w:p w:rsidR="004F5C33" w:rsidRPr="004F5C33" w:rsidRDefault="004F5C33" w:rsidP="007F6464">
      <w:pPr>
        <w:spacing w:line="480" w:lineRule="auto"/>
        <w:rPr>
          <w:rFonts w:ascii="Times New Roman" w:hAnsi="Times New Roman" w:cs="Times New Roman"/>
          <w:sz w:val="24"/>
          <w:szCs w:val="24"/>
        </w:rPr>
      </w:pPr>
    </w:p>
    <w:sectPr w:rsidR="004F5C33" w:rsidRPr="004F5C33" w:rsidSect="00EE0E9B">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723F" w:rsidRDefault="00D9723F">
      <w:pPr>
        <w:spacing w:after="0" w:line="240" w:lineRule="auto"/>
      </w:pPr>
      <w:r>
        <w:separator/>
      </w:r>
    </w:p>
  </w:endnote>
  <w:endnote w:type="continuationSeparator" w:id="0">
    <w:p w:rsidR="00D9723F" w:rsidRDefault="00D97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altName w:val="Arial"/>
    <w:charset w:val="00"/>
    <w:family w:val="swiss"/>
    <w:pitch w:val="variable"/>
    <w:sig w:usb0="00000000" w:usb1="4000207B" w:usb2="00000000"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A6B" w:rsidRDefault="00AF5A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A6B" w:rsidRDefault="00AF5A6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A6B" w:rsidRDefault="00AF5A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723F" w:rsidRDefault="00D9723F">
      <w:pPr>
        <w:spacing w:after="0" w:line="240" w:lineRule="auto"/>
      </w:pPr>
      <w:r>
        <w:separator/>
      </w:r>
    </w:p>
  </w:footnote>
  <w:footnote w:type="continuationSeparator" w:id="0">
    <w:p w:rsidR="00D9723F" w:rsidRDefault="00D972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5A6B" w:rsidRDefault="00AF5A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E9B" w:rsidRPr="00EE0E9B" w:rsidRDefault="00D9723F">
    <w:pPr>
      <w:pStyle w:val="Header"/>
      <w:jc w:val="right"/>
      <w:rPr>
        <w:rFonts w:ascii="Times New Roman" w:hAnsi="Times New Roman" w:cs="Times New Roman"/>
        <w:sz w:val="24"/>
        <w:szCs w:val="24"/>
      </w:rPr>
    </w:pPr>
    <w:r w:rsidRPr="00EE0E9B">
      <w:rPr>
        <w:rFonts w:ascii="Times New Roman" w:hAnsi="Times New Roman" w:cs="Times New Roman"/>
        <w:sz w:val="24"/>
        <w:szCs w:val="24"/>
      </w:rPr>
      <w:t>AIG AND THE BONUS FIASCO</w:t>
    </w:r>
    <w:r>
      <w:rPr>
        <w:rFonts w:ascii="Times New Roman" w:hAnsi="Times New Roman" w:cs="Times New Roman"/>
        <w:sz w:val="24"/>
        <w:szCs w:val="24"/>
      </w:rPr>
      <w:tab/>
    </w:r>
    <w:r>
      <w:rPr>
        <w:rFonts w:ascii="Times New Roman" w:hAnsi="Times New Roman" w:cs="Times New Roman"/>
        <w:sz w:val="24"/>
        <w:szCs w:val="24"/>
      </w:rPr>
      <w:tab/>
    </w:r>
    <w:r w:rsidRPr="00EE0E9B">
      <w:rPr>
        <w:rFonts w:ascii="Times New Roman" w:hAnsi="Times New Roman" w:cs="Times New Roman"/>
        <w:sz w:val="24"/>
        <w:szCs w:val="24"/>
      </w:rPr>
      <w:t xml:space="preserve"> </w:t>
    </w:r>
    <w:sdt>
      <w:sdtPr>
        <w:rPr>
          <w:rFonts w:ascii="Times New Roman" w:hAnsi="Times New Roman" w:cs="Times New Roman"/>
          <w:sz w:val="24"/>
          <w:szCs w:val="24"/>
        </w:rPr>
        <w:id w:val="1052572265"/>
        <w:docPartObj>
          <w:docPartGallery w:val="Page Numbers (Top of Page)"/>
          <w:docPartUnique/>
        </w:docPartObj>
      </w:sdtPr>
      <w:sdtEndPr>
        <w:rPr>
          <w:noProof/>
        </w:rPr>
      </w:sdtEndPr>
      <w:sdtContent>
        <w:r w:rsidRPr="00EE0E9B">
          <w:rPr>
            <w:rFonts w:ascii="Times New Roman" w:hAnsi="Times New Roman" w:cs="Times New Roman"/>
            <w:sz w:val="24"/>
            <w:szCs w:val="24"/>
          </w:rPr>
          <w:fldChar w:fldCharType="begin"/>
        </w:r>
        <w:r w:rsidRPr="00EE0E9B">
          <w:rPr>
            <w:rFonts w:ascii="Times New Roman" w:hAnsi="Times New Roman" w:cs="Times New Roman"/>
            <w:sz w:val="24"/>
            <w:szCs w:val="24"/>
          </w:rPr>
          <w:instrText xml:space="preserve"> PAGE   \* MERGEFORMAT </w:instrText>
        </w:r>
        <w:r w:rsidRPr="00EE0E9B">
          <w:rPr>
            <w:rFonts w:ascii="Times New Roman" w:hAnsi="Times New Roman" w:cs="Times New Roman"/>
            <w:sz w:val="24"/>
            <w:szCs w:val="24"/>
          </w:rPr>
          <w:fldChar w:fldCharType="separate"/>
        </w:r>
        <w:r w:rsidR="00445456">
          <w:rPr>
            <w:rFonts w:ascii="Times New Roman" w:hAnsi="Times New Roman" w:cs="Times New Roman"/>
            <w:noProof/>
            <w:sz w:val="24"/>
            <w:szCs w:val="24"/>
          </w:rPr>
          <w:t>8</w:t>
        </w:r>
        <w:r w:rsidRPr="00EE0E9B">
          <w:rPr>
            <w:rFonts w:ascii="Times New Roman" w:hAnsi="Times New Roman" w:cs="Times New Roman"/>
            <w:noProof/>
            <w:sz w:val="24"/>
            <w:szCs w:val="24"/>
          </w:rPr>
          <w:fldChar w:fldCharType="end"/>
        </w:r>
      </w:sdtContent>
    </w:sdt>
  </w:p>
  <w:p w:rsidR="00EE0E9B" w:rsidRDefault="00EE0E9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0E9B" w:rsidRPr="00EE0E9B" w:rsidRDefault="00D9723F">
    <w:pPr>
      <w:pStyle w:val="Header"/>
      <w:jc w:val="right"/>
      <w:rPr>
        <w:rFonts w:ascii="Times New Roman" w:hAnsi="Times New Roman" w:cs="Times New Roman"/>
        <w:sz w:val="24"/>
        <w:szCs w:val="24"/>
      </w:rPr>
    </w:pPr>
    <w:r w:rsidRPr="00EE0E9B">
      <w:rPr>
        <w:rFonts w:ascii="Times New Roman" w:hAnsi="Times New Roman" w:cs="Times New Roman"/>
        <w:sz w:val="24"/>
        <w:szCs w:val="24"/>
      </w:rPr>
      <w:t>Running head:</w:t>
    </w:r>
    <w:r>
      <w:rPr>
        <w:rFonts w:ascii="Times New Roman" w:hAnsi="Times New Roman" w:cs="Times New Roman"/>
        <w:sz w:val="24"/>
        <w:szCs w:val="24"/>
      </w:rPr>
      <w:t xml:space="preserve"> AIG AND THE BONUS FIASCO</w:t>
    </w:r>
    <w:r>
      <w:rPr>
        <w:rFonts w:ascii="Times New Roman" w:hAnsi="Times New Roman" w:cs="Times New Roman"/>
        <w:sz w:val="24"/>
        <w:szCs w:val="24"/>
      </w:rPr>
      <w:tab/>
    </w:r>
    <w:sdt>
      <w:sdtPr>
        <w:rPr>
          <w:rFonts w:ascii="Times New Roman" w:hAnsi="Times New Roman" w:cs="Times New Roman"/>
          <w:sz w:val="24"/>
          <w:szCs w:val="24"/>
        </w:rPr>
        <w:id w:val="-477310264"/>
        <w:docPartObj>
          <w:docPartGallery w:val="Page Numbers (Top of Page)"/>
          <w:docPartUnique/>
        </w:docPartObj>
      </w:sdtPr>
      <w:sdtEndPr>
        <w:rPr>
          <w:noProof/>
        </w:rPr>
      </w:sdtEndPr>
      <w:sdtContent>
        <w:r w:rsidRPr="00EE0E9B">
          <w:rPr>
            <w:rFonts w:ascii="Times New Roman" w:hAnsi="Times New Roman" w:cs="Times New Roman"/>
            <w:sz w:val="24"/>
            <w:szCs w:val="24"/>
          </w:rPr>
          <w:fldChar w:fldCharType="begin"/>
        </w:r>
        <w:r w:rsidRPr="00EE0E9B">
          <w:rPr>
            <w:rFonts w:ascii="Times New Roman" w:hAnsi="Times New Roman" w:cs="Times New Roman"/>
            <w:sz w:val="24"/>
            <w:szCs w:val="24"/>
          </w:rPr>
          <w:instrText xml:space="preserve"> PAGE   \* MERGEFORMAT </w:instrText>
        </w:r>
        <w:r w:rsidRPr="00EE0E9B">
          <w:rPr>
            <w:rFonts w:ascii="Times New Roman" w:hAnsi="Times New Roman" w:cs="Times New Roman"/>
            <w:sz w:val="24"/>
            <w:szCs w:val="24"/>
          </w:rPr>
          <w:fldChar w:fldCharType="separate"/>
        </w:r>
        <w:r w:rsidR="00AF5A6B">
          <w:rPr>
            <w:rFonts w:ascii="Times New Roman" w:hAnsi="Times New Roman" w:cs="Times New Roman"/>
            <w:noProof/>
            <w:sz w:val="24"/>
            <w:szCs w:val="24"/>
          </w:rPr>
          <w:t>1</w:t>
        </w:r>
        <w:r w:rsidRPr="00EE0E9B">
          <w:rPr>
            <w:rFonts w:ascii="Times New Roman" w:hAnsi="Times New Roman" w:cs="Times New Roman"/>
            <w:noProof/>
            <w:sz w:val="24"/>
            <w:szCs w:val="24"/>
          </w:rPr>
          <w:fldChar w:fldCharType="end"/>
        </w:r>
      </w:sdtContent>
    </w:sdt>
  </w:p>
  <w:p w:rsidR="00EE0E9B" w:rsidRDefault="00EE0E9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EE6894"/>
    <w:multiLevelType w:val="hybridMultilevel"/>
    <w:tmpl w:val="C318FA7C"/>
    <w:lvl w:ilvl="0" w:tplc="D4428986">
      <w:numFmt w:val="bullet"/>
      <w:lvlText w:val="-"/>
      <w:lvlJc w:val="left"/>
      <w:pPr>
        <w:ind w:left="720" w:hanging="360"/>
      </w:pPr>
      <w:rPr>
        <w:rFonts w:ascii="Calibri" w:eastAsiaTheme="minorHAnsi" w:hAnsi="Calibri" w:cs="Calibri" w:hint="default"/>
      </w:rPr>
    </w:lvl>
    <w:lvl w:ilvl="1" w:tplc="419C6D90" w:tentative="1">
      <w:start w:val="1"/>
      <w:numFmt w:val="bullet"/>
      <w:lvlText w:val="o"/>
      <w:lvlJc w:val="left"/>
      <w:pPr>
        <w:ind w:left="1440" w:hanging="360"/>
      </w:pPr>
      <w:rPr>
        <w:rFonts w:ascii="Courier New" w:hAnsi="Courier New" w:cs="Courier New" w:hint="default"/>
      </w:rPr>
    </w:lvl>
    <w:lvl w:ilvl="2" w:tplc="A99439CC" w:tentative="1">
      <w:start w:val="1"/>
      <w:numFmt w:val="bullet"/>
      <w:lvlText w:val=""/>
      <w:lvlJc w:val="left"/>
      <w:pPr>
        <w:ind w:left="2160" w:hanging="360"/>
      </w:pPr>
      <w:rPr>
        <w:rFonts w:ascii="Wingdings" w:hAnsi="Wingdings" w:hint="default"/>
      </w:rPr>
    </w:lvl>
    <w:lvl w:ilvl="3" w:tplc="AFB8D5DC" w:tentative="1">
      <w:start w:val="1"/>
      <w:numFmt w:val="bullet"/>
      <w:lvlText w:val=""/>
      <w:lvlJc w:val="left"/>
      <w:pPr>
        <w:ind w:left="2880" w:hanging="360"/>
      </w:pPr>
      <w:rPr>
        <w:rFonts w:ascii="Symbol" w:hAnsi="Symbol" w:hint="default"/>
      </w:rPr>
    </w:lvl>
    <w:lvl w:ilvl="4" w:tplc="19ECCBD6" w:tentative="1">
      <w:start w:val="1"/>
      <w:numFmt w:val="bullet"/>
      <w:lvlText w:val="o"/>
      <w:lvlJc w:val="left"/>
      <w:pPr>
        <w:ind w:left="3600" w:hanging="360"/>
      </w:pPr>
      <w:rPr>
        <w:rFonts w:ascii="Courier New" w:hAnsi="Courier New" w:cs="Courier New" w:hint="default"/>
      </w:rPr>
    </w:lvl>
    <w:lvl w:ilvl="5" w:tplc="81F89430" w:tentative="1">
      <w:start w:val="1"/>
      <w:numFmt w:val="bullet"/>
      <w:lvlText w:val=""/>
      <w:lvlJc w:val="left"/>
      <w:pPr>
        <w:ind w:left="4320" w:hanging="360"/>
      </w:pPr>
      <w:rPr>
        <w:rFonts w:ascii="Wingdings" w:hAnsi="Wingdings" w:hint="default"/>
      </w:rPr>
    </w:lvl>
    <w:lvl w:ilvl="6" w:tplc="92B22CC8" w:tentative="1">
      <w:start w:val="1"/>
      <w:numFmt w:val="bullet"/>
      <w:lvlText w:val=""/>
      <w:lvlJc w:val="left"/>
      <w:pPr>
        <w:ind w:left="5040" w:hanging="360"/>
      </w:pPr>
      <w:rPr>
        <w:rFonts w:ascii="Symbol" w:hAnsi="Symbol" w:hint="default"/>
      </w:rPr>
    </w:lvl>
    <w:lvl w:ilvl="7" w:tplc="3E5E0184" w:tentative="1">
      <w:start w:val="1"/>
      <w:numFmt w:val="bullet"/>
      <w:lvlText w:val="o"/>
      <w:lvlJc w:val="left"/>
      <w:pPr>
        <w:ind w:left="5760" w:hanging="360"/>
      </w:pPr>
      <w:rPr>
        <w:rFonts w:ascii="Courier New" w:hAnsi="Courier New" w:cs="Courier New" w:hint="default"/>
      </w:rPr>
    </w:lvl>
    <w:lvl w:ilvl="8" w:tplc="68947B6A" w:tentative="1">
      <w:start w:val="1"/>
      <w:numFmt w:val="bullet"/>
      <w:lvlText w:val=""/>
      <w:lvlJc w:val="left"/>
      <w:pPr>
        <w:ind w:left="6480" w:hanging="360"/>
      </w:pPr>
      <w:rPr>
        <w:rFonts w:ascii="Wingdings" w:hAnsi="Wingdings" w:hint="default"/>
      </w:rPr>
    </w:lvl>
  </w:abstractNum>
  <w:abstractNum w:abstractNumId="1">
    <w:nsid w:val="256F552C"/>
    <w:multiLevelType w:val="hybridMultilevel"/>
    <w:tmpl w:val="60C2813A"/>
    <w:lvl w:ilvl="0" w:tplc="5096E602">
      <w:numFmt w:val="bullet"/>
      <w:lvlText w:val="-"/>
      <w:lvlJc w:val="left"/>
      <w:pPr>
        <w:ind w:left="720" w:hanging="360"/>
      </w:pPr>
      <w:rPr>
        <w:rFonts w:ascii="Calibri" w:eastAsiaTheme="minorHAnsi" w:hAnsi="Calibri" w:cs="Calibri" w:hint="default"/>
      </w:rPr>
    </w:lvl>
    <w:lvl w:ilvl="1" w:tplc="61E28A92" w:tentative="1">
      <w:start w:val="1"/>
      <w:numFmt w:val="bullet"/>
      <w:lvlText w:val="o"/>
      <w:lvlJc w:val="left"/>
      <w:pPr>
        <w:ind w:left="1440" w:hanging="360"/>
      </w:pPr>
      <w:rPr>
        <w:rFonts w:ascii="Courier New" w:hAnsi="Courier New" w:cs="Courier New" w:hint="default"/>
      </w:rPr>
    </w:lvl>
    <w:lvl w:ilvl="2" w:tplc="ABE4F6AA" w:tentative="1">
      <w:start w:val="1"/>
      <w:numFmt w:val="bullet"/>
      <w:lvlText w:val=""/>
      <w:lvlJc w:val="left"/>
      <w:pPr>
        <w:ind w:left="2160" w:hanging="360"/>
      </w:pPr>
      <w:rPr>
        <w:rFonts w:ascii="Wingdings" w:hAnsi="Wingdings" w:hint="default"/>
      </w:rPr>
    </w:lvl>
    <w:lvl w:ilvl="3" w:tplc="8C40105C" w:tentative="1">
      <w:start w:val="1"/>
      <w:numFmt w:val="bullet"/>
      <w:lvlText w:val=""/>
      <w:lvlJc w:val="left"/>
      <w:pPr>
        <w:ind w:left="2880" w:hanging="360"/>
      </w:pPr>
      <w:rPr>
        <w:rFonts w:ascii="Symbol" w:hAnsi="Symbol" w:hint="default"/>
      </w:rPr>
    </w:lvl>
    <w:lvl w:ilvl="4" w:tplc="1DA6CDFA" w:tentative="1">
      <w:start w:val="1"/>
      <w:numFmt w:val="bullet"/>
      <w:lvlText w:val="o"/>
      <w:lvlJc w:val="left"/>
      <w:pPr>
        <w:ind w:left="3600" w:hanging="360"/>
      </w:pPr>
      <w:rPr>
        <w:rFonts w:ascii="Courier New" w:hAnsi="Courier New" w:cs="Courier New" w:hint="default"/>
      </w:rPr>
    </w:lvl>
    <w:lvl w:ilvl="5" w:tplc="84D2CE1C" w:tentative="1">
      <w:start w:val="1"/>
      <w:numFmt w:val="bullet"/>
      <w:lvlText w:val=""/>
      <w:lvlJc w:val="left"/>
      <w:pPr>
        <w:ind w:left="4320" w:hanging="360"/>
      </w:pPr>
      <w:rPr>
        <w:rFonts w:ascii="Wingdings" w:hAnsi="Wingdings" w:hint="default"/>
      </w:rPr>
    </w:lvl>
    <w:lvl w:ilvl="6" w:tplc="A502CAAA" w:tentative="1">
      <w:start w:val="1"/>
      <w:numFmt w:val="bullet"/>
      <w:lvlText w:val=""/>
      <w:lvlJc w:val="left"/>
      <w:pPr>
        <w:ind w:left="5040" w:hanging="360"/>
      </w:pPr>
      <w:rPr>
        <w:rFonts w:ascii="Symbol" w:hAnsi="Symbol" w:hint="default"/>
      </w:rPr>
    </w:lvl>
    <w:lvl w:ilvl="7" w:tplc="5A6EA0D8" w:tentative="1">
      <w:start w:val="1"/>
      <w:numFmt w:val="bullet"/>
      <w:lvlText w:val="o"/>
      <w:lvlJc w:val="left"/>
      <w:pPr>
        <w:ind w:left="5760" w:hanging="360"/>
      </w:pPr>
      <w:rPr>
        <w:rFonts w:ascii="Courier New" w:hAnsi="Courier New" w:cs="Courier New" w:hint="default"/>
      </w:rPr>
    </w:lvl>
    <w:lvl w:ilvl="8" w:tplc="1C22CA32" w:tentative="1">
      <w:start w:val="1"/>
      <w:numFmt w:val="bullet"/>
      <w:lvlText w:val=""/>
      <w:lvlJc w:val="left"/>
      <w:pPr>
        <w:ind w:left="6480" w:hanging="360"/>
      </w:pPr>
      <w:rPr>
        <w:rFonts w:ascii="Wingdings" w:hAnsi="Wingdings" w:hint="default"/>
      </w:rPr>
    </w:lvl>
  </w:abstractNum>
  <w:abstractNum w:abstractNumId="2">
    <w:nsid w:val="359728BB"/>
    <w:multiLevelType w:val="hybridMultilevel"/>
    <w:tmpl w:val="72F6B192"/>
    <w:lvl w:ilvl="0" w:tplc="CF6A99D2">
      <w:start w:val="1"/>
      <w:numFmt w:val="bullet"/>
      <w:lvlText w:val=""/>
      <w:lvlJc w:val="left"/>
      <w:pPr>
        <w:ind w:left="1140" w:hanging="360"/>
      </w:pPr>
      <w:rPr>
        <w:rFonts w:ascii="Wingdings" w:hAnsi="Wingdings" w:hint="default"/>
      </w:rPr>
    </w:lvl>
    <w:lvl w:ilvl="1" w:tplc="7E48F432" w:tentative="1">
      <w:start w:val="1"/>
      <w:numFmt w:val="bullet"/>
      <w:lvlText w:val="o"/>
      <w:lvlJc w:val="left"/>
      <w:pPr>
        <w:ind w:left="1860" w:hanging="360"/>
      </w:pPr>
      <w:rPr>
        <w:rFonts w:ascii="Courier New" w:hAnsi="Courier New" w:cs="Courier New" w:hint="default"/>
      </w:rPr>
    </w:lvl>
    <w:lvl w:ilvl="2" w:tplc="EA265B56" w:tentative="1">
      <w:start w:val="1"/>
      <w:numFmt w:val="bullet"/>
      <w:lvlText w:val=""/>
      <w:lvlJc w:val="left"/>
      <w:pPr>
        <w:ind w:left="2580" w:hanging="360"/>
      </w:pPr>
      <w:rPr>
        <w:rFonts w:ascii="Wingdings" w:hAnsi="Wingdings" w:hint="default"/>
      </w:rPr>
    </w:lvl>
    <w:lvl w:ilvl="3" w:tplc="8292B946" w:tentative="1">
      <w:start w:val="1"/>
      <w:numFmt w:val="bullet"/>
      <w:lvlText w:val=""/>
      <w:lvlJc w:val="left"/>
      <w:pPr>
        <w:ind w:left="3300" w:hanging="360"/>
      </w:pPr>
      <w:rPr>
        <w:rFonts w:ascii="Symbol" w:hAnsi="Symbol" w:hint="default"/>
      </w:rPr>
    </w:lvl>
    <w:lvl w:ilvl="4" w:tplc="221A8124" w:tentative="1">
      <w:start w:val="1"/>
      <w:numFmt w:val="bullet"/>
      <w:lvlText w:val="o"/>
      <w:lvlJc w:val="left"/>
      <w:pPr>
        <w:ind w:left="4020" w:hanging="360"/>
      </w:pPr>
      <w:rPr>
        <w:rFonts w:ascii="Courier New" w:hAnsi="Courier New" w:cs="Courier New" w:hint="default"/>
      </w:rPr>
    </w:lvl>
    <w:lvl w:ilvl="5" w:tplc="D77EA362" w:tentative="1">
      <w:start w:val="1"/>
      <w:numFmt w:val="bullet"/>
      <w:lvlText w:val=""/>
      <w:lvlJc w:val="left"/>
      <w:pPr>
        <w:ind w:left="4740" w:hanging="360"/>
      </w:pPr>
      <w:rPr>
        <w:rFonts w:ascii="Wingdings" w:hAnsi="Wingdings" w:hint="default"/>
      </w:rPr>
    </w:lvl>
    <w:lvl w:ilvl="6" w:tplc="8B18A99C" w:tentative="1">
      <w:start w:val="1"/>
      <w:numFmt w:val="bullet"/>
      <w:lvlText w:val=""/>
      <w:lvlJc w:val="left"/>
      <w:pPr>
        <w:ind w:left="5460" w:hanging="360"/>
      </w:pPr>
      <w:rPr>
        <w:rFonts w:ascii="Symbol" w:hAnsi="Symbol" w:hint="default"/>
      </w:rPr>
    </w:lvl>
    <w:lvl w:ilvl="7" w:tplc="5A746814" w:tentative="1">
      <w:start w:val="1"/>
      <w:numFmt w:val="bullet"/>
      <w:lvlText w:val="o"/>
      <w:lvlJc w:val="left"/>
      <w:pPr>
        <w:ind w:left="6180" w:hanging="360"/>
      </w:pPr>
      <w:rPr>
        <w:rFonts w:ascii="Courier New" w:hAnsi="Courier New" w:cs="Courier New" w:hint="default"/>
      </w:rPr>
    </w:lvl>
    <w:lvl w:ilvl="8" w:tplc="65446A3A" w:tentative="1">
      <w:start w:val="1"/>
      <w:numFmt w:val="bullet"/>
      <w:lvlText w:val=""/>
      <w:lvlJc w:val="left"/>
      <w:pPr>
        <w:ind w:left="6900" w:hanging="360"/>
      </w:pPr>
      <w:rPr>
        <w:rFonts w:ascii="Wingdings" w:hAnsi="Wingdings" w:hint="default"/>
      </w:rPr>
    </w:lvl>
  </w:abstractNum>
  <w:abstractNum w:abstractNumId="3">
    <w:nsid w:val="39B51C9C"/>
    <w:multiLevelType w:val="hybridMultilevel"/>
    <w:tmpl w:val="A62EC85A"/>
    <w:lvl w:ilvl="0" w:tplc="3398B9D0">
      <w:start w:val="1"/>
      <w:numFmt w:val="bullet"/>
      <w:lvlText w:val=""/>
      <w:lvlJc w:val="left"/>
      <w:pPr>
        <w:ind w:left="720" w:hanging="360"/>
      </w:pPr>
      <w:rPr>
        <w:rFonts w:ascii="Wingdings" w:hAnsi="Wingdings" w:hint="default"/>
      </w:rPr>
    </w:lvl>
    <w:lvl w:ilvl="1" w:tplc="FC525D4A" w:tentative="1">
      <w:start w:val="1"/>
      <w:numFmt w:val="bullet"/>
      <w:lvlText w:val="o"/>
      <w:lvlJc w:val="left"/>
      <w:pPr>
        <w:ind w:left="1440" w:hanging="360"/>
      </w:pPr>
      <w:rPr>
        <w:rFonts w:ascii="Courier New" w:hAnsi="Courier New" w:cs="Courier New" w:hint="default"/>
      </w:rPr>
    </w:lvl>
    <w:lvl w:ilvl="2" w:tplc="598A9EB8" w:tentative="1">
      <w:start w:val="1"/>
      <w:numFmt w:val="bullet"/>
      <w:lvlText w:val=""/>
      <w:lvlJc w:val="left"/>
      <w:pPr>
        <w:ind w:left="2160" w:hanging="360"/>
      </w:pPr>
      <w:rPr>
        <w:rFonts w:ascii="Wingdings" w:hAnsi="Wingdings" w:hint="default"/>
      </w:rPr>
    </w:lvl>
    <w:lvl w:ilvl="3" w:tplc="870A135A" w:tentative="1">
      <w:start w:val="1"/>
      <w:numFmt w:val="bullet"/>
      <w:lvlText w:val=""/>
      <w:lvlJc w:val="left"/>
      <w:pPr>
        <w:ind w:left="2880" w:hanging="360"/>
      </w:pPr>
      <w:rPr>
        <w:rFonts w:ascii="Symbol" w:hAnsi="Symbol" w:hint="default"/>
      </w:rPr>
    </w:lvl>
    <w:lvl w:ilvl="4" w:tplc="CE0C1E6C" w:tentative="1">
      <w:start w:val="1"/>
      <w:numFmt w:val="bullet"/>
      <w:lvlText w:val="o"/>
      <w:lvlJc w:val="left"/>
      <w:pPr>
        <w:ind w:left="3600" w:hanging="360"/>
      </w:pPr>
      <w:rPr>
        <w:rFonts w:ascii="Courier New" w:hAnsi="Courier New" w:cs="Courier New" w:hint="default"/>
      </w:rPr>
    </w:lvl>
    <w:lvl w:ilvl="5" w:tplc="78026350" w:tentative="1">
      <w:start w:val="1"/>
      <w:numFmt w:val="bullet"/>
      <w:lvlText w:val=""/>
      <w:lvlJc w:val="left"/>
      <w:pPr>
        <w:ind w:left="4320" w:hanging="360"/>
      </w:pPr>
      <w:rPr>
        <w:rFonts w:ascii="Wingdings" w:hAnsi="Wingdings" w:hint="default"/>
      </w:rPr>
    </w:lvl>
    <w:lvl w:ilvl="6" w:tplc="4FD61624" w:tentative="1">
      <w:start w:val="1"/>
      <w:numFmt w:val="bullet"/>
      <w:lvlText w:val=""/>
      <w:lvlJc w:val="left"/>
      <w:pPr>
        <w:ind w:left="5040" w:hanging="360"/>
      </w:pPr>
      <w:rPr>
        <w:rFonts w:ascii="Symbol" w:hAnsi="Symbol" w:hint="default"/>
      </w:rPr>
    </w:lvl>
    <w:lvl w:ilvl="7" w:tplc="D2A8388A" w:tentative="1">
      <w:start w:val="1"/>
      <w:numFmt w:val="bullet"/>
      <w:lvlText w:val="o"/>
      <w:lvlJc w:val="left"/>
      <w:pPr>
        <w:ind w:left="5760" w:hanging="360"/>
      </w:pPr>
      <w:rPr>
        <w:rFonts w:ascii="Courier New" w:hAnsi="Courier New" w:cs="Courier New" w:hint="default"/>
      </w:rPr>
    </w:lvl>
    <w:lvl w:ilvl="8" w:tplc="68AC0416" w:tentative="1">
      <w:start w:val="1"/>
      <w:numFmt w:val="bullet"/>
      <w:lvlText w:val=""/>
      <w:lvlJc w:val="left"/>
      <w:pPr>
        <w:ind w:left="6480" w:hanging="360"/>
      </w:pPr>
      <w:rPr>
        <w:rFonts w:ascii="Wingdings" w:hAnsi="Wingdings" w:hint="default"/>
      </w:rPr>
    </w:lvl>
  </w:abstractNum>
  <w:abstractNum w:abstractNumId="4">
    <w:nsid w:val="3C001277"/>
    <w:multiLevelType w:val="hybridMultilevel"/>
    <w:tmpl w:val="2E5E56AC"/>
    <w:lvl w:ilvl="0" w:tplc="9DA2ED6A">
      <w:start w:val="1"/>
      <w:numFmt w:val="bullet"/>
      <w:lvlText w:val=""/>
      <w:lvlJc w:val="left"/>
      <w:pPr>
        <w:ind w:left="720" w:hanging="360"/>
      </w:pPr>
      <w:rPr>
        <w:rFonts w:ascii="Wingdings" w:hAnsi="Wingdings" w:hint="default"/>
      </w:rPr>
    </w:lvl>
    <w:lvl w:ilvl="1" w:tplc="96CCA49C" w:tentative="1">
      <w:start w:val="1"/>
      <w:numFmt w:val="bullet"/>
      <w:lvlText w:val="o"/>
      <w:lvlJc w:val="left"/>
      <w:pPr>
        <w:ind w:left="1440" w:hanging="360"/>
      </w:pPr>
      <w:rPr>
        <w:rFonts w:ascii="Courier New" w:hAnsi="Courier New" w:cs="Courier New" w:hint="default"/>
      </w:rPr>
    </w:lvl>
    <w:lvl w:ilvl="2" w:tplc="8C6C9E86" w:tentative="1">
      <w:start w:val="1"/>
      <w:numFmt w:val="bullet"/>
      <w:lvlText w:val=""/>
      <w:lvlJc w:val="left"/>
      <w:pPr>
        <w:ind w:left="2160" w:hanging="360"/>
      </w:pPr>
      <w:rPr>
        <w:rFonts w:ascii="Wingdings" w:hAnsi="Wingdings" w:hint="default"/>
      </w:rPr>
    </w:lvl>
    <w:lvl w:ilvl="3" w:tplc="F7D2BD34" w:tentative="1">
      <w:start w:val="1"/>
      <w:numFmt w:val="bullet"/>
      <w:lvlText w:val=""/>
      <w:lvlJc w:val="left"/>
      <w:pPr>
        <w:ind w:left="2880" w:hanging="360"/>
      </w:pPr>
      <w:rPr>
        <w:rFonts w:ascii="Symbol" w:hAnsi="Symbol" w:hint="default"/>
      </w:rPr>
    </w:lvl>
    <w:lvl w:ilvl="4" w:tplc="26CE226E" w:tentative="1">
      <w:start w:val="1"/>
      <w:numFmt w:val="bullet"/>
      <w:lvlText w:val="o"/>
      <w:lvlJc w:val="left"/>
      <w:pPr>
        <w:ind w:left="3600" w:hanging="360"/>
      </w:pPr>
      <w:rPr>
        <w:rFonts w:ascii="Courier New" w:hAnsi="Courier New" w:cs="Courier New" w:hint="default"/>
      </w:rPr>
    </w:lvl>
    <w:lvl w:ilvl="5" w:tplc="407C4FC8" w:tentative="1">
      <w:start w:val="1"/>
      <w:numFmt w:val="bullet"/>
      <w:lvlText w:val=""/>
      <w:lvlJc w:val="left"/>
      <w:pPr>
        <w:ind w:left="4320" w:hanging="360"/>
      </w:pPr>
      <w:rPr>
        <w:rFonts w:ascii="Wingdings" w:hAnsi="Wingdings" w:hint="default"/>
      </w:rPr>
    </w:lvl>
    <w:lvl w:ilvl="6" w:tplc="FFB2F4A6" w:tentative="1">
      <w:start w:val="1"/>
      <w:numFmt w:val="bullet"/>
      <w:lvlText w:val=""/>
      <w:lvlJc w:val="left"/>
      <w:pPr>
        <w:ind w:left="5040" w:hanging="360"/>
      </w:pPr>
      <w:rPr>
        <w:rFonts w:ascii="Symbol" w:hAnsi="Symbol" w:hint="default"/>
      </w:rPr>
    </w:lvl>
    <w:lvl w:ilvl="7" w:tplc="357C5296" w:tentative="1">
      <w:start w:val="1"/>
      <w:numFmt w:val="bullet"/>
      <w:lvlText w:val="o"/>
      <w:lvlJc w:val="left"/>
      <w:pPr>
        <w:ind w:left="5760" w:hanging="360"/>
      </w:pPr>
      <w:rPr>
        <w:rFonts w:ascii="Courier New" w:hAnsi="Courier New" w:cs="Courier New" w:hint="default"/>
      </w:rPr>
    </w:lvl>
    <w:lvl w:ilvl="8" w:tplc="B02AD7B0" w:tentative="1">
      <w:start w:val="1"/>
      <w:numFmt w:val="bullet"/>
      <w:lvlText w:val=""/>
      <w:lvlJc w:val="left"/>
      <w:pPr>
        <w:ind w:left="6480" w:hanging="360"/>
      </w:pPr>
      <w:rPr>
        <w:rFonts w:ascii="Wingdings" w:hAnsi="Wingdings" w:hint="default"/>
      </w:rPr>
    </w:lvl>
  </w:abstractNum>
  <w:abstractNum w:abstractNumId="5">
    <w:nsid w:val="4DB317D9"/>
    <w:multiLevelType w:val="hybridMultilevel"/>
    <w:tmpl w:val="20C0D308"/>
    <w:lvl w:ilvl="0" w:tplc="A1A0E59A">
      <w:start w:val="1"/>
      <w:numFmt w:val="bullet"/>
      <w:lvlText w:val=""/>
      <w:lvlJc w:val="left"/>
      <w:pPr>
        <w:ind w:left="720" w:hanging="360"/>
      </w:pPr>
      <w:rPr>
        <w:rFonts w:ascii="Wingdings" w:hAnsi="Wingdings" w:hint="default"/>
      </w:rPr>
    </w:lvl>
    <w:lvl w:ilvl="1" w:tplc="DFE268B2" w:tentative="1">
      <w:start w:val="1"/>
      <w:numFmt w:val="bullet"/>
      <w:lvlText w:val="o"/>
      <w:lvlJc w:val="left"/>
      <w:pPr>
        <w:ind w:left="1440" w:hanging="360"/>
      </w:pPr>
      <w:rPr>
        <w:rFonts w:ascii="Courier New" w:hAnsi="Courier New" w:cs="Courier New" w:hint="default"/>
      </w:rPr>
    </w:lvl>
    <w:lvl w:ilvl="2" w:tplc="CFDEF46C" w:tentative="1">
      <w:start w:val="1"/>
      <w:numFmt w:val="bullet"/>
      <w:lvlText w:val=""/>
      <w:lvlJc w:val="left"/>
      <w:pPr>
        <w:ind w:left="2160" w:hanging="360"/>
      </w:pPr>
      <w:rPr>
        <w:rFonts w:ascii="Wingdings" w:hAnsi="Wingdings" w:hint="default"/>
      </w:rPr>
    </w:lvl>
    <w:lvl w:ilvl="3" w:tplc="91366090" w:tentative="1">
      <w:start w:val="1"/>
      <w:numFmt w:val="bullet"/>
      <w:lvlText w:val=""/>
      <w:lvlJc w:val="left"/>
      <w:pPr>
        <w:ind w:left="2880" w:hanging="360"/>
      </w:pPr>
      <w:rPr>
        <w:rFonts w:ascii="Symbol" w:hAnsi="Symbol" w:hint="default"/>
      </w:rPr>
    </w:lvl>
    <w:lvl w:ilvl="4" w:tplc="FBD83346" w:tentative="1">
      <w:start w:val="1"/>
      <w:numFmt w:val="bullet"/>
      <w:lvlText w:val="o"/>
      <w:lvlJc w:val="left"/>
      <w:pPr>
        <w:ind w:left="3600" w:hanging="360"/>
      </w:pPr>
      <w:rPr>
        <w:rFonts w:ascii="Courier New" w:hAnsi="Courier New" w:cs="Courier New" w:hint="default"/>
      </w:rPr>
    </w:lvl>
    <w:lvl w:ilvl="5" w:tplc="5B321772" w:tentative="1">
      <w:start w:val="1"/>
      <w:numFmt w:val="bullet"/>
      <w:lvlText w:val=""/>
      <w:lvlJc w:val="left"/>
      <w:pPr>
        <w:ind w:left="4320" w:hanging="360"/>
      </w:pPr>
      <w:rPr>
        <w:rFonts w:ascii="Wingdings" w:hAnsi="Wingdings" w:hint="default"/>
      </w:rPr>
    </w:lvl>
    <w:lvl w:ilvl="6" w:tplc="C00AC75C" w:tentative="1">
      <w:start w:val="1"/>
      <w:numFmt w:val="bullet"/>
      <w:lvlText w:val=""/>
      <w:lvlJc w:val="left"/>
      <w:pPr>
        <w:ind w:left="5040" w:hanging="360"/>
      </w:pPr>
      <w:rPr>
        <w:rFonts w:ascii="Symbol" w:hAnsi="Symbol" w:hint="default"/>
      </w:rPr>
    </w:lvl>
    <w:lvl w:ilvl="7" w:tplc="CCEE3E2C" w:tentative="1">
      <w:start w:val="1"/>
      <w:numFmt w:val="bullet"/>
      <w:lvlText w:val="o"/>
      <w:lvlJc w:val="left"/>
      <w:pPr>
        <w:ind w:left="5760" w:hanging="360"/>
      </w:pPr>
      <w:rPr>
        <w:rFonts w:ascii="Courier New" w:hAnsi="Courier New" w:cs="Courier New" w:hint="default"/>
      </w:rPr>
    </w:lvl>
    <w:lvl w:ilvl="8" w:tplc="6CDE184E" w:tentative="1">
      <w:start w:val="1"/>
      <w:numFmt w:val="bullet"/>
      <w:lvlText w:val=""/>
      <w:lvlJc w:val="left"/>
      <w:pPr>
        <w:ind w:left="6480" w:hanging="360"/>
      </w:pPr>
      <w:rPr>
        <w:rFonts w:ascii="Wingdings" w:hAnsi="Wingdings" w:hint="default"/>
      </w:rPr>
    </w:lvl>
  </w:abstractNum>
  <w:abstractNum w:abstractNumId="6">
    <w:nsid w:val="62BE6B81"/>
    <w:multiLevelType w:val="hybridMultilevel"/>
    <w:tmpl w:val="217AC9F8"/>
    <w:lvl w:ilvl="0" w:tplc="DB6E88EC">
      <w:start w:val="1"/>
      <w:numFmt w:val="bullet"/>
      <w:lvlText w:val=""/>
      <w:lvlJc w:val="left"/>
      <w:pPr>
        <w:ind w:left="720" w:hanging="360"/>
      </w:pPr>
      <w:rPr>
        <w:rFonts w:ascii="Wingdings" w:hAnsi="Wingdings" w:hint="default"/>
      </w:rPr>
    </w:lvl>
    <w:lvl w:ilvl="1" w:tplc="2974CA82" w:tentative="1">
      <w:start w:val="1"/>
      <w:numFmt w:val="bullet"/>
      <w:lvlText w:val="o"/>
      <w:lvlJc w:val="left"/>
      <w:pPr>
        <w:ind w:left="1440" w:hanging="360"/>
      </w:pPr>
      <w:rPr>
        <w:rFonts w:ascii="Courier New" w:hAnsi="Courier New" w:cs="Courier New" w:hint="default"/>
      </w:rPr>
    </w:lvl>
    <w:lvl w:ilvl="2" w:tplc="9C7E1516" w:tentative="1">
      <w:start w:val="1"/>
      <w:numFmt w:val="bullet"/>
      <w:lvlText w:val=""/>
      <w:lvlJc w:val="left"/>
      <w:pPr>
        <w:ind w:left="2160" w:hanging="360"/>
      </w:pPr>
      <w:rPr>
        <w:rFonts w:ascii="Wingdings" w:hAnsi="Wingdings" w:hint="default"/>
      </w:rPr>
    </w:lvl>
    <w:lvl w:ilvl="3" w:tplc="3536D09C" w:tentative="1">
      <w:start w:val="1"/>
      <w:numFmt w:val="bullet"/>
      <w:lvlText w:val=""/>
      <w:lvlJc w:val="left"/>
      <w:pPr>
        <w:ind w:left="2880" w:hanging="360"/>
      </w:pPr>
      <w:rPr>
        <w:rFonts w:ascii="Symbol" w:hAnsi="Symbol" w:hint="default"/>
      </w:rPr>
    </w:lvl>
    <w:lvl w:ilvl="4" w:tplc="772080AC" w:tentative="1">
      <w:start w:val="1"/>
      <w:numFmt w:val="bullet"/>
      <w:lvlText w:val="o"/>
      <w:lvlJc w:val="left"/>
      <w:pPr>
        <w:ind w:left="3600" w:hanging="360"/>
      </w:pPr>
      <w:rPr>
        <w:rFonts w:ascii="Courier New" w:hAnsi="Courier New" w:cs="Courier New" w:hint="default"/>
      </w:rPr>
    </w:lvl>
    <w:lvl w:ilvl="5" w:tplc="ED8C9406" w:tentative="1">
      <w:start w:val="1"/>
      <w:numFmt w:val="bullet"/>
      <w:lvlText w:val=""/>
      <w:lvlJc w:val="left"/>
      <w:pPr>
        <w:ind w:left="4320" w:hanging="360"/>
      </w:pPr>
      <w:rPr>
        <w:rFonts w:ascii="Wingdings" w:hAnsi="Wingdings" w:hint="default"/>
      </w:rPr>
    </w:lvl>
    <w:lvl w:ilvl="6" w:tplc="1C28839A" w:tentative="1">
      <w:start w:val="1"/>
      <w:numFmt w:val="bullet"/>
      <w:lvlText w:val=""/>
      <w:lvlJc w:val="left"/>
      <w:pPr>
        <w:ind w:left="5040" w:hanging="360"/>
      </w:pPr>
      <w:rPr>
        <w:rFonts w:ascii="Symbol" w:hAnsi="Symbol" w:hint="default"/>
      </w:rPr>
    </w:lvl>
    <w:lvl w:ilvl="7" w:tplc="44A02C8C" w:tentative="1">
      <w:start w:val="1"/>
      <w:numFmt w:val="bullet"/>
      <w:lvlText w:val="o"/>
      <w:lvlJc w:val="left"/>
      <w:pPr>
        <w:ind w:left="5760" w:hanging="360"/>
      </w:pPr>
      <w:rPr>
        <w:rFonts w:ascii="Courier New" w:hAnsi="Courier New" w:cs="Courier New" w:hint="default"/>
      </w:rPr>
    </w:lvl>
    <w:lvl w:ilvl="8" w:tplc="62A24FDC" w:tentative="1">
      <w:start w:val="1"/>
      <w:numFmt w:val="bullet"/>
      <w:lvlText w:val=""/>
      <w:lvlJc w:val="left"/>
      <w:pPr>
        <w:ind w:left="6480" w:hanging="360"/>
      </w:pPr>
      <w:rPr>
        <w:rFonts w:ascii="Wingdings" w:hAnsi="Wingdings" w:hint="default"/>
      </w:rPr>
    </w:lvl>
  </w:abstractNum>
  <w:abstractNum w:abstractNumId="7">
    <w:nsid w:val="78BB6424"/>
    <w:multiLevelType w:val="hybridMultilevel"/>
    <w:tmpl w:val="F7E6FA68"/>
    <w:lvl w:ilvl="0" w:tplc="54406B1C">
      <w:start w:val="1"/>
      <w:numFmt w:val="bullet"/>
      <w:lvlText w:val=""/>
      <w:lvlJc w:val="left"/>
      <w:pPr>
        <w:ind w:left="720" w:hanging="360"/>
      </w:pPr>
      <w:rPr>
        <w:rFonts w:ascii="Wingdings" w:hAnsi="Wingdings" w:hint="default"/>
      </w:rPr>
    </w:lvl>
    <w:lvl w:ilvl="1" w:tplc="898640F4" w:tentative="1">
      <w:start w:val="1"/>
      <w:numFmt w:val="bullet"/>
      <w:lvlText w:val="o"/>
      <w:lvlJc w:val="left"/>
      <w:pPr>
        <w:ind w:left="1440" w:hanging="360"/>
      </w:pPr>
      <w:rPr>
        <w:rFonts w:ascii="Courier New" w:hAnsi="Courier New" w:cs="Courier New" w:hint="default"/>
      </w:rPr>
    </w:lvl>
    <w:lvl w:ilvl="2" w:tplc="1F043B00" w:tentative="1">
      <w:start w:val="1"/>
      <w:numFmt w:val="bullet"/>
      <w:lvlText w:val=""/>
      <w:lvlJc w:val="left"/>
      <w:pPr>
        <w:ind w:left="2160" w:hanging="360"/>
      </w:pPr>
      <w:rPr>
        <w:rFonts w:ascii="Wingdings" w:hAnsi="Wingdings" w:hint="default"/>
      </w:rPr>
    </w:lvl>
    <w:lvl w:ilvl="3" w:tplc="F48AD2E0" w:tentative="1">
      <w:start w:val="1"/>
      <w:numFmt w:val="bullet"/>
      <w:lvlText w:val=""/>
      <w:lvlJc w:val="left"/>
      <w:pPr>
        <w:ind w:left="2880" w:hanging="360"/>
      </w:pPr>
      <w:rPr>
        <w:rFonts w:ascii="Symbol" w:hAnsi="Symbol" w:hint="default"/>
      </w:rPr>
    </w:lvl>
    <w:lvl w:ilvl="4" w:tplc="98C0701C" w:tentative="1">
      <w:start w:val="1"/>
      <w:numFmt w:val="bullet"/>
      <w:lvlText w:val="o"/>
      <w:lvlJc w:val="left"/>
      <w:pPr>
        <w:ind w:left="3600" w:hanging="360"/>
      </w:pPr>
      <w:rPr>
        <w:rFonts w:ascii="Courier New" w:hAnsi="Courier New" w:cs="Courier New" w:hint="default"/>
      </w:rPr>
    </w:lvl>
    <w:lvl w:ilvl="5" w:tplc="705E54CC" w:tentative="1">
      <w:start w:val="1"/>
      <w:numFmt w:val="bullet"/>
      <w:lvlText w:val=""/>
      <w:lvlJc w:val="left"/>
      <w:pPr>
        <w:ind w:left="4320" w:hanging="360"/>
      </w:pPr>
      <w:rPr>
        <w:rFonts w:ascii="Wingdings" w:hAnsi="Wingdings" w:hint="default"/>
      </w:rPr>
    </w:lvl>
    <w:lvl w:ilvl="6" w:tplc="763A1A76" w:tentative="1">
      <w:start w:val="1"/>
      <w:numFmt w:val="bullet"/>
      <w:lvlText w:val=""/>
      <w:lvlJc w:val="left"/>
      <w:pPr>
        <w:ind w:left="5040" w:hanging="360"/>
      </w:pPr>
      <w:rPr>
        <w:rFonts w:ascii="Symbol" w:hAnsi="Symbol" w:hint="default"/>
      </w:rPr>
    </w:lvl>
    <w:lvl w:ilvl="7" w:tplc="6D5268FE" w:tentative="1">
      <w:start w:val="1"/>
      <w:numFmt w:val="bullet"/>
      <w:lvlText w:val="o"/>
      <w:lvlJc w:val="left"/>
      <w:pPr>
        <w:ind w:left="5760" w:hanging="360"/>
      </w:pPr>
      <w:rPr>
        <w:rFonts w:ascii="Courier New" w:hAnsi="Courier New" w:cs="Courier New" w:hint="default"/>
      </w:rPr>
    </w:lvl>
    <w:lvl w:ilvl="8" w:tplc="33D6F65C"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6"/>
  </w:num>
  <w:num w:numId="5">
    <w:abstractNumId w:val="5"/>
  </w:num>
  <w:num w:numId="6">
    <w:abstractNumId w:val="7"/>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0E9B"/>
    <w:rsid w:val="00024896"/>
    <w:rsid w:val="000436B9"/>
    <w:rsid w:val="00074710"/>
    <w:rsid w:val="00144C3C"/>
    <w:rsid w:val="00271877"/>
    <w:rsid w:val="0030644E"/>
    <w:rsid w:val="003312CD"/>
    <w:rsid w:val="003B4B82"/>
    <w:rsid w:val="00445456"/>
    <w:rsid w:val="004F5C33"/>
    <w:rsid w:val="005008AE"/>
    <w:rsid w:val="00544BC4"/>
    <w:rsid w:val="00556F2E"/>
    <w:rsid w:val="005B4E05"/>
    <w:rsid w:val="005F0008"/>
    <w:rsid w:val="00637F2B"/>
    <w:rsid w:val="00704759"/>
    <w:rsid w:val="00712D18"/>
    <w:rsid w:val="00762454"/>
    <w:rsid w:val="007F15A7"/>
    <w:rsid w:val="007F6464"/>
    <w:rsid w:val="0094094C"/>
    <w:rsid w:val="00956DDF"/>
    <w:rsid w:val="00AE0AF4"/>
    <w:rsid w:val="00AF5A6B"/>
    <w:rsid w:val="00B31F18"/>
    <w:rsid w:val="00C36520"/>
    <w:rsid w:val="00D9723F"/>
    <w:rsid w:val="00EE00DB"/>
    <w:rsid w:val="00EE0E9B"/>
    <w:rsid w:val="00F509ED"/>
    <w:rsid w:val="00F65420"/>
    <w:rsid w:val="00FD39E0"/>
    <w:rsid w:val="00FF44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0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0E9B"/>
  </w:style>
  <w:style w:type="paragraph" w:styleId="Footer">
    <w:name w:val="footer"/>
    <w:basedOn w:val="Normal"/>
    <w:link w:val="FooterChar"/>
    <w:uiPriority w:val="99"/>
    <w:unhideWhenUsed/>
    <w:rsid w:val="00EE0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0E9B"/>
  </w:style>
  <w:style w:type="character" w:styleId="Hyperlink">
    <w:name w:val="Hyperlink"/>
    <w:basedOn w:val="DefaultParagraphFont"/>
    <w:uiPriority w:val="99"/>
    <w:unhideWhenUsed/>
    <w:rsid w:val="00EE0E9B"/>
    <w:rPr>
      <w:color w:val="0563C1" w:themeColor="hyperlink"/>
      <w:u w:val="single"/>
    </w:rPr>
  </w:style>
  <w:style w:type="character" w:customStyle="1" w:styleId="UnresolvedMention">
    <w:name w:val="Unresolved Mention"/>
    <w:basedOn w:val="DefaultParagraphFont"/>
    <w:uiPriority w:val="99"/>
    <w:semiHidden/>
    <w:unhideWhenUsed/>
    <w:rsid w:val="00EE0E9B"/>
    <w:rPr>
      <w:color w:val="605E5C"/>
      <w:shd w:val="clear" w:color="auto" w:fill="E1DFDD"/>
    </w:rPr>
  </w:style>
  <w:style w:type="paragraph" w:styleId="ListParagraph">
    <w:name w:val="List Paragraph"/>
    <w:basedOn w:val="Normal"/>
    <w:uiPriority w:val="34"/>
    <w:qFormat/>
    <w:rsid w:val="00712D1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0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0E9B"/>
  </w:style>
  <w:style w:type="paragraph" w:styleId="Footer">
    <w:name w:val="footer"/>
    <w:basedOn w:val="Normal"/>
    <w:link w:val="FooterChar"/>
    <w:uiPriority w:val="99"/>
    <w:unhideWhenUsed/>
    <w:rsid w:val="00EE0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0E9B"/>
  </w:style>
  <w:style w:type="character" w:styleId="Hyperlink">
    <w:name w:val="Hyperlink"/>
    <w:basedOn w:val="DefaultParagraphFont"/>
    <w:uiPriority w:val="99"/>
    <w:unhideWhenUsed/>
    <w:rsid w:val="00EE0E9B"/>
    <w:rPr>
      <w:color w:val="0563C1" w:themeColor="hyperlink"/>
      <w:u w:val="single"/>
    </w:rPr>
  </w:style>
  <w:style w:type="character" w:customStyle="1" w:styleId="UnresolvedMention">
    <w:name w:val="Unresolved Mention"/>
    <w:basedOn w:val="DefaultParagraphFont"/>
    <w:uiPriority w:val="99"/>
    <w:semiHidden/>
    <w:unhideWhenUsed/>
    <w:rsid w:val="00EE0E9B"/>
    <w:rPr>
      <w:color w:val="605E5C"/>
      <w:shd w:val="clear" w:color="auto" w:fill="E1DFDD"/>
    </w:rPr>
  </w:style>
  <w:style w:type="paragraph" w:styleId="ListParagraph">
    <w:name w:val="List Paragraph"/>
    <w:basedOn w:val="Normal"/>
    <w:uiPriority w:val="34"/>
    <w:qFormat/>
    <w:rsid w:val="00712D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ig.com"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aig.com/about-us/history/timeline" TargetMode="External"/><Relationship Id="rId4" Type="http://schemas.openxmlformats.org/officeDocument/2006/relationships/settings" Target="settings.xml"/><Relationship Id="rId9" Type="http://schemas.openxmlformats.org/officeDocument/2006/relationships/hyperlink" Target="http://www.aig.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1334</Words>
  <Characters>7606</Characters>
  <Application>Microsoft Office Word</Application>
  <DocSecurity>0</DocSecurity>
  <Lines>63</Lines>
  <Paragraphs>17</Paragraphs>
  <ScaleCrop>false</ScaleCrop>
  <LinksUpToDate>false</LinksUpToDate>
  <CharactersWithSpaces>8923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2018-06-24T00:15:00Z</dcterms:created>
  <dcterms:modified xsi:type="dcterms:W3CDTF">2018-06-24T00:15:00Z</dcterms:modified>
</cp:coreProperties>
</file>